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F9D4DE" w14:textId="77777777" w:rsidR="0083491C" w:rsidRDefault="0083491C">
      <w:pPr>
        <w:pStyle w:val="normal0"/>
        <w:rPr>
          <w:rFonts w:ascii="Times New Roman" w:eastAsia="Times New Roman" w:hAnsi="Times New Roman" w:cs="Times New Roman"/>
          <w:b/>
          <w:sz w:val="24"/>
          <w:szCs w:val="24"/>
        </w:rPr>
      </w:pPr>
    </w:p>
    <w:p w14:paraId="4246BC47" w14:textId="77777777" w:rsidR="00C26086" w:rsidRPr="00C26086" w:rsidRDefault="0083491C">
      <w:pPr>
        <w:pStyle w:val="normal0"/>
        <w:rPr>
          <w:rFonts w:ascii="Times New Roman" w:eastAsia="Times New Roman" w:hAnsi="Times New Roman" w:cs="Times New Roman"/>
          <w:b/>
          <w:sz w:val="24"/>
          <w:szCs w:val="24"/>
        </w:rPr>
      </w:pPr>
      <w:r w:rsidRPr="00C26086">
        <w:rPr>
          <w:rFonts w:ascii="Times New Roman" w:eastAsia="Times New Roman" w:hAnsi="Times New Roman" w:cs="Times New Roman"/>
          <w:b/>
          <w:sz w:val="24"/>
          <w:szCs w:val="24"/>
        </w:rPr>
        <w:t>A History of Racial Diversity at the University of Illinois</w:t>
      </w:r>
      <w:r w:rsidR="00C26086">
        <w:rPr>
          <w:rFonts w:ascii="Times New Roman" w:eastAsia="Times New Roman" w:hAnsi="Times New Roman" w:cs="Times New Roman"/>
          <w:b/>
          <w:sz w:val="24"/>
          <w:szCs w:val="24"/>
        </w:rPr>
        <w:t>, Part I</w:t>
      </w:r>
      <w:r w:rsidRPr="00C26086">
        <w:rPr>
          <w:rFonts w:ascii="Times New Roman" w:eastAsia="Times New Roman" w:hAnsi="Times New Roman" w:cs="Times New Roman"/>
          <w:b/>
          <w:sz w:val="24"/>
          <w:szCs w:val="24"/>
        </w:rPr>
        <w:t xml:space="preserve"> </w:t>
      </w:r>
    </w:p>
    <w:p w14:paraId="2EB1B5B4" w14:textId="77777777" w:rsidR="00C26086" w:rsidRDefault="00C26086">
      <w:pPr>
        <w:pStyle w:val="normal0"/>
        <w:rPr>
          <w:rFonts w:ascii="Times New Roman" w:eastAsia="Times New Roman" w:hAnsi="Times New Roman" w:cs="Times New Roman"/>
          <w:sz w:val="24"/>
          <w:szCs w:val="24"/>
        </w:rPr>
      </w:pPr>
    </w:p>
    <w:p w14:paraId="2009F339" w14:textId="09F3F24B" w:rsidR="0083491C" w:rsidRPr="0083491C" w:rsidRDefault="0083491C">
      <w:pPr>
        <w:pStyle w:val="normal0"/>
        <w:rPr>
          <w:rFonts w:ascii="Times New Roman" w:eastAsia="Times New Roman" w:hAnsi="Times New Roman" w:cs="Times New Roman"/>
          <w:i/>
          <w:sz w:val="24"/>
          <w:szCs w:val="24"/>
        </w:rPr>
      </w:pPr>
      <w:r w:rsidRPr="0083491C">
        <w:rPr>
          <w:rFonts w:ascii="Times New Roman" w:eastAsia="Times New Roman" w:hAnsi="Times New Roman" w:cs="Times New Roman"/>
          <w:i/>
          <w:sz w:val="24"/>
          <w:szCs w:val="24"/>
        </w:rPr>
        <w:t>Names of people in your group:</w:t>
      </w:r>
    </w:p>
    <w:p w14:paraId="2568428F" w14:textId="77777777" w:rsidR="0083491C" w:rsidRDefault="0083491C">
      <w:pPr>
        <w:pStyle w:val="normal0"/>
        <w:rPr>
          <w:rFonts w:ascii="Times New Roman" w:eastAsia="Times New Roman" w:hAnsi="Times New Roman" w:cs="Times New Roman"/>
          <w:sz w:val="24"/>
          <w:szCs w:val="24"/>
        </w:rPr>
      </w:pPr>
      <w:bookmarkStart w:id="0" w:name="_GoBack"/>
      <w:bookmarkEnd w:id="0"/>
    </w:p>
    <w:p w14:paraId="2BCE2FBB" w14:textId="77777777" w:rsidR="0083491C" w:rsidRDefault="0083491C">
      <w:pPr>
        <w:pStyle w:val="normal0"/>
        <w:rPr>
          <w:rFonts w:ascii="Times New Roman" w:eastAsia="Times New Roman" w:hAnsi="Times New Roman" w:cs="Times New Roman"/>
          <w:sz w:val="24"/>
          <w:szCs w:val="24"/>
        </w:rPr>
      </w:pPr>
    </w:p>
    <w:p w14:paraId="72947FEC" w14:textId="77777777" w:rsidR="00C26086" w:rsidRDefault="00C26086">
      <w:pPr>
        <w:pStyle w:val="norm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main sources used to create this timeline can be consulted online.  </w:t>
      </w:r>
    </w:p>
    <w:p w14:paraId="45FC7027" w14:textId="77777777" w:rsidR="00C26086" w:rsidRDefault="00C26086">
      <w:pPr>
        <w:pStyle w:val="normal0"/>
        <w:rPr>
          <w:rFonts w:ascii="Times New Roman" w:eastAsia="Times New Roman" w:hAnsi="Times New Roman" w:cs="Times New Roman"/>
          <w:sz w:val="24"/>
          <w:szCs w:val="24"/>
        </w:rPr>
      </w:pPr>
      <w:r>
        <w:rPr>
          <w:rFonts w:ascii="Times New Roman" w:eastAsia="Times New Roman" w:hAnsi="Times New Roman" w:cs="Times New Roman"/>
          <w:sz w:val="24"/>
          <w:szCs w:val="24"/>
        </w:rPr>
        <w:t>See the Wiki for links to:</w:t>
      </w:r>
    </w:p>
    <w:p w14:paraId="006765E8" w14:textId="77777777" w:rsidR="00C26086" w:rsidRDefault="00C26086" w:rsidP="00C26086">
      <w:pPr>
        <w:pStyle w:val="normal0"/>
        <w:numPr>
          <w:ilvl w:val="0"/>
          <w:numId w:val="1"/>
        </w:numP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the</w:t>
      </w:r>
      <w:proofErr w:type="gramEnd"/>
      <w:r>
        <w:rPr>
          <w:rFonts w:ascii="Times New Roman" w:eastAsia="Times New Roman" w:hAnsi="Times New Roman" w:cs="Times New Roman"/>
          <w:sz w:val="24"/>
          <w:szCs w:val="24"/>
        </w:rPr>
        <w:t xml:space="preserve"> UIUC Archives online exhibit on “Project 500” (note the title of specific pages)</w:t>
      </w:r>
    </w:p>
    <w:p w14:paraId="19BD31AD" w14:textId="77777777" w:rsidR="00EB5891" w:rsidRDefault="00C26086" w:rsidP="00C26086">
      <w:pPr>
        <w:pStyle w:val="normal0"/>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Joy Ann Williamson’s book, </w:t>
      </w:r>
      <w:r w:rsidRPr="00C26086">
        <w:rPr>
          <w:rFonts w:ascii="Times New Roman" w:eastAsia="Times New Roman" w:hAnsi="Times New Roman" w:cs="Times New Roman"/>
          <w:i/>
          <w:sz w:val="24"/>
          <w:szCs w:val="24"/>
        </w:rPr>
        <w:t>Black Power on Campus</w:t>
      </w:r>
      <w:r>
        <w:rPr>
          <w:rFonts w:ascii="Times New Roman" w:eastAsia="Times New Roman" w:hAnsi="Times New Roman" w:cs="Times New Roman"/>
          <w:sz w:val="24"/>
          <w:szCs w:val="24"/>
        </w:rPr>
        <w:t xml:space="preserve"> (note page numbers) </w:t>
      </w:r>
      <w:r w:rsidR="0083491C">
        <w:rPr>
          <w:rFonts w:ascii="Times New Roman" w:eastAsia="Times New Roman" w:hAnsi="Times New Roman" w:cs="Times New Roman"/>
          <w:sz w:val="24"/>
          <w:szCs w:val="24"/>
        </w:rPr>
        <w:t xml:space="preserve">                                                    </w:t>
      </w:r>
    </w:p>
    <w:p w14:paraId="0A277CC4" w14:textId="77777777" w:rsidR="00EB5891" w:rsidRDefault="0083491C">
      <w:pPr>
        <w:pStyle w:val="norm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Style w:val="a"/>
        <w:tblW w:w="10440" w:type="dxa"/>
        <w:tblInd w:w="-5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980"/>
        <w:gridCol w:w="3195"/>
        <w:gridCol w:w="3015"/>
        <w:gridCol w:w="2250"/>
      </w:tblGrid>
      <w:tr w:rsidR="00EB5891" w14:paraId="2E63E10D" w14:textId="77777777">
        <w:tc>
          <w:tcPr>
            <w:tcW w:w="1980" w:type="dxa"/>
            <w:tcBorders>
              <w:top w:val="single" w:sz="8" w:space="0" w:color="000000"/>
              <w:left w:val="single" w:sz="8" w:space="0" w:color="000000"/>
              <w:bottom w:val="single" w:sz="8" w:space="0" w:color="000000"/>
              <w:right w:val="single" w:sz="8" w:space="0" w:color="000000"/>
            </w:tcBorders>
            <w:tcMar>
              <w:top w:w="1" w:type="dxa"/>
              <w:left w:w="1" w:type="dxa"/>
              <w:bottom w:w="1" w:type="dxa"/>
              <w:right w:w="1" w:type="dxa"/>
            </w:tcMar>
          </w:tcPr>
          <w:p w14:paraId="27EA0E8D" w14:textId="77777777" w:rsidR="00EB5891" w:rsidRDefault="0083491C">
            <w:pPr>
              <w:pStyle w:val="normal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Context (date </w:t>
            </w:r>
            <w:r>
              <w:rPr>
                <w:rFonts w:ascii="Times New Roman" w:eastAsia="Times New Roman" w:hAnsi="Times New Roman" w:cs="Times New Roman"/>
                <w:b/>
                <w:i/>
                <w:sz w:val="24"/>
                <w:szCs w:val="24"/>
              </w:rPr>
              <w:t>and</w:t>
            </w:r>
            <w:r>
              <w:rPr>
                <w:rFonts w:ascii="Times New Roman" w:eastAsia="Times New Roman" w:hAnsi="Times New Roman" w:cs="Times New Roman"/>
                <w:b/>
                <w:sz w:val="24"/>
                <w:szCs w:val="24"/>
              </w:rPr>
              <w:t xml:space="preserve"> place)</w:t>
            </w:r>
          </w:p>
        </w:tc>
        <w:tc>
          <w:tcPr>
            <w:tcW w:w="3195" w:type="dxa"/>
            <w:tcBorders>
              <w:top w:val="single" w:sz="8" w:space="0" w:color="000000"/>
              <w:bottom w:val="single" w:sz="8" w:space="0" w:color="000000"/>
              <w:right w:val="single" w:sz="8" w:space="0" w:color="000000"/>
            </w:tcBorders>
            <w:tcMar>
              <w:top w:w="1" w:type="dxa"/>
              <w:left w:w="1" w:type="dxa"/>
              <w:bottom w:w="1" w:type="dxa"/>
              <w:right w:w="1" w:type="dxa"/>
            </w:tcMar>
          </w:tcPr>
          <w:p w14:paraId="593D0EB8" w14:textId="77777777" w:rsidR="00EB5891" w:rsidRDefault="0083491C">
            <w:pPr>
              <w:pStyle w:val="normal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What happened?</w:t>
            </w:r>
          </w:p>
        </w:tc>
        <w:tc>
          <w:tcPr>
            <w:tcW w:w="3015" w:type="dxa"/>
            <w:tcBorders>
              <w:top w:val="single" w:sz="8" w:space="0" w:color="000000"/>
              <w:bottom w:val="single" w:sz="8" w:space="0" w:color="000000"/>
              <w:right w:val="single" w:sz="8" w:space="0" w:color="000000"/>
            </w:tcBorders>
            <w:tcMar>
              <w:top w:w="1" w:type="dxa"/>
              <w:left w:w="1" w:type="dxa"/>
              <w:bottom w:w="1" w:type="dxa"/>
              <w:right w:w="1" w:type="dxa"/>
            </w:tcMar>
          </w:tcPr>
          <w:p w14:paraId="166A908C" w14:textId="77777777" w:rsidR="00EB5891" w:rsidRDefault="0083491C">
            <w:pPr>
              <w:pStyle w:val="normal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Significance?</w:t>
            </w:r>
          </w:p>
        </w:tc>
        <w:tc>
          <w:tcPr>
            <w:tcW w:w="2250" w:type="dxa"/>
            <w:tcBorders>
              <w:top w:val="single" w:sz="8" w:space="0" w:color="000000"/>
              <w:bottom w:val="single" w:sz="8" w:space="0" w:color="000000"/>
              <w:right w:val="single" w:sz="8" w:space="0" w:color="000000"/>
            </w:tcBorders>
            <w:tcMar>
              <w:top w:w="1" w:type="dxa"/>
              <w:left w:w="1" w:type="dxa"/>
              <w:bottom w:w="1" w:type="dxa"/>
              <w:right w:w="1" w:type="dxa"/>
            </w:tcMar>
          </w:tcPr>
          <w:p w14:paraId="11380D53" w14:textId="77777777" w:rsidR="00EB5891" w:rsidRDefault="0083491C">
            <w:pPr>
              <w:pStyle w:val="normal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Source(s)</w:t>
            </w:r>
          </w:p>
        </w:tc>
      </w:tr>
      <w:tr w:rsidR="00EB5891" w14:paraId="2043AD15" w14:textId="77777777">
        <w:tc>
          <w:tcPr>
            <w:tcW w:w="1980" w:type="dxa"/>
            <w:tcBorders>
              <w:left w:val="single" w:sz="8" w:space="0" w:color="000000"/>
              <w:bottom w:val="single" w:sz="8" w:space="0" w:color="000000"/>
              <w:right w:val="single" w:sz="8" w:space="0" w:color="000000"/>
            </w:tcBorders>
            <w:tcMar>
              <w:top w:w="1" w:type="dxa"/>
              <w:left w:w="1" w:type="dxa"/>
              <w:bottom w:w="1" w:type="dxa"/>
              <w:right w:w="1" w:type="dxa"/>
            </w:tcMar>
          </w:tcPr>
          <w:p w14:paraId="48BD7688"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1862, US Congress</w:t>
            </w:r>
          </w:p>
          <w:p w14:paraId="27790BD6"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gramStart"/>
            <w:r>
              <w:rPr>
                <w:rFonts w:ascii="Times New Roman" w:eastAsia="Times New Roman" w:hAnsi="Times New Roman" w:cs="Times New Roman"/>
                <w:sz w:val="24"/>
                <w:szCs w:val="24"/>
              </w:rPr>
              <w:t>for</w:t>
            </w:r>
            <w:proofErr w:type="gramEnd"/>
            <w:r>
              <w:rPr>
                <w:rFonts w:ascii="Times New Roman" w:eastAsia="Times New Roman" w:hAnsi="Times New Roman" w:cs="Times New Roman"/>
                <w:sz w:val="24"/>
                <w:szCs w:val="24"/>
              </w:rPr>
              <w:t xml:space="preserve"> the whole US)</w:t>
            </w:r>
          </w:p>
        </w:tc>
        <w:tc>
          <w:tcPr>
            <w:tcW w:w="3195" w:type="dxa"/>
            <w:tcBorders>
              <w:bottom w:val="single" w:sz="8" w:space="0" w:color="000000"/>
              <w:right w:val="single" w:sz="8" w:space="0" w:color="000000"/>
            </w:tcBorders>
            <w:tcMar>
              <w:top w:w="1" w:type="dxa"/>
              <w:left w:w="1" w:type="dxa"/>
              <w:bottom w:w="1" w:type="dxa"/>
              <w:right w:w="1" w:type="dxa"/>
            </w:tcMar>
          </w:tcPr>
          <w:p w14:paraId="69C7CEB5"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Morrill Act was passed, to encourage states to create public universities through the “granting” of land from the federal </w:t>
            </w:r>
            <w:proofErr w:type="gramStart"/>
            <w:r>
              <w:rPr>
                <w:rFonts w:ascii="Times New Roman" w:eastAsia="Times New Roman" w:hAnsi="Times New Roman" w:cs="Times New Roman"/>
                <w:sz w:val="24"/>
                <w:szCs w:val="24"/>
              </w:rPr>
              <w:t>government, that</w:t>
            </w:r>
            <w:proofErr w:type="gramEnd"/>
            <w:r>
              <w:rPr>
                <w:rFonts w:ascii="Times New Roman" w:eastAsia="Times New Roman" w:hAnsi="Times New Roman" w:cs="Times New Roman"/>
                <w:sz w:val="24"/>
                <w:szCs w:val="24"/>
              </w:rPr>
              <w:t xml:space="preserve"> could be sold and/or used to create universities.</w:t>
            </w:r>
          </w:p>
        </w:tc>
        <w:tc>
          <w:tcPr>
            <w:tcW w:w="3015" w:type="dxa"/>
            <w:tcBorders>
              <w:bottom w:val="single" w:sz="8" w:space="0" w:color="000000"/>
              <w:right w:val="single" w:sz="8" w:space="0" w:color="000000"/>
            </w:tcBorders>
            <w:tcMar>
              <w:top w:w="1" w:type="dxa"/>
              <w:left w:w="1" w:type="dxa"/>
              <w:bottom w:w="1" w:type="dxa"/>
              <w:right w:w="1" w:type="dxa"/>
            </w:tcMar>
          </w:tcPr>
          <w:p w14:paraId="3151D7E9"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The led to the creation of the University of Illinois and to ma</w:t>
            </w:r>
            <w:r>
              <w:rPr>
                <w:rFonts w:ascii="Times New Roman" w:eastAsia="Times New Roman" w:hAnsi="Times New Roman" w:cs="Times New Roman"/>
                <w:sz w:val="24"/>
                <w:szCs w:val="24"/>
              </w:rPr>
              <w:t>ny other public universities (Purdue, Univ. of Michigan, Texas A &amp; M, etc.).  The purpose of this law was to spread the benefits of higher education to the people who lived in states without a major public university.</w:t>
            </w:r>
          </w:p>
        </w:tc>
        <w:tc>
          <w:tcPr>
            <w:tcW w:w="2250" w:type="dxa"/>
            <w:tcBorders>
              <w:bottom w:val="single" w:sz="8" w:space="0" w:color="000000"/>
              <w:right w:val="single" w:sz="8" w:space="0" w:color="000000"/>
            </w:tcBorders>
            <w:tcMar>
              <w:top w:w="1" w:type="dxa"/>
              <w:left w:w="1" w:type="dxa"/>
              <w:bottom w:w="1" w:type="dxa"/>
              <w:right w:w="1" w:type="dxa"/>
            </w:tcMar>
          </w:tcPr>
          <w:p w14:paraId="2BD4DD89"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UIUC Archives, “Project 500” online ex</w:t>
            </w:r>
            <w:r>
              <w:rPr>
                <w:rFonts w:ascii="Times New Roman" w:eastAsia="Times New Roman" w:hAnsi="Times New Roman" w:cs="Times New Roman"/>
                <w:sz w:val="24"/>
                <w:szCs w:val="24"/>
              </w:rPr>
              <w:t>hibit, “Founding of the University”</w:t>
            </w:r>
          </w:p>
        </w:tc>
      </w:tr>
      <w:tr w:rsidR="00EB5891" w14:paraId="58289AAA" w14:textId="77777777">
        <w:trPr>
          <w:trHeight w:val="2360"/>
        </w:trPr>
        <w:tc>
          <w:tcPr>
            <w:tcW w:w="1980" w:type="dxa"/>
            <w:tcBorders>
              <w:left w:val="single" w:sz="8" w:space="0" w:color="000000"/>
              <w:bottom w:val="single" w:sz="8" w:space="0" w:color="000000"/>
              <w:right w:val="single" w:sz="8" w:space="0" w:color="000000"/>
            </w:tcBorders>
            <w:tcMar>
              <w:top w:w="1" w:type="dxa"/>
              <w:left w:w="1" w:type="dxa"/>
              <w:bottom w:w="1" w:type="dxa"/>
              <w:right w:w="1" w:type="dxa"/>
            </w:tcMar>
          </w:tcPr>
          <w:p w14:paraId="5F53D013"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1867</w:t>
            </w:r>
          </w:p>
          <w:p w14:paraId="2D6253C0"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Urbana, Illinois</w:t>
            </w:r>
          </w:p>
        </w:tc>
        <w:tc>
          <w:tcPr>
            <w:tcW w:w="3195" w:type="dxa"/>
            <w:tcBorders>
              <w:bottom w:val="single" w:sz="8" w:space="0" w:color="000000"/>
              <w:right w:val="single" w:sz="8" w:space="0" w:color="000000"/>
            </w:tcBorders>
            <w:tcMar>
              <w:top w:w="1" w:type="dxa"/>
              <w:left w:w="1" w:type="dxa"/>
              <w:bottom w:w="1" w:type="dxa"/>
              <w:right w:w="1" w:type="dxa"/>
            </w:tcMar>
          </w:tcPr>
          <w:p w14:paraId="3033C757"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The University of Illinois was created, as the first public university in the state.  Its main campus was intentionally located “downstate” since Chicago had private universities and cultural resources.  It was initially called “the Illinois Industrial Uni</w:t>
            </w:r>
            <w:r>
              <w:rPr>
                <w:rFonts w:ascii="Times New Roman" w:eastAsia="Times New Roman" w:hAnsi="Times New Roman" w:cs="Times New Roman"/>
                <w:sz w:val="24"/>
                <w:szCs w:val="24"/>
              </w:rPr>
              <w:t>versity,” but its name was changed to “the University of Illinois” in 1885.</w:t>
            </w:r>
          </w:p>
        </w:tc>
        <w:tc>
          <w:tcPr>
            <w:tcW w:w="3015" w:type="dxa"/>
            <w:tcBorders>
              <w:bottom w:val="single" w:sz="8" w:space="0" w:color="000000"/>
              <w:right w:val="single" w:sz="8" w:space="0" w:color="000000"/>
            </w:tcBorders>
            <w:tcMar>
              <w:top w:w="1" w:type="dxa"/>
              <w:left w:w="1" w:type="dxa"/>
              <w:bottom w:w="1" w:type="dxa"/>
              <w:right w:w="1" w:type="dxa"/>
            </w:tcMar>
          </w:tcPr>
          <w:p w14:paraId="4D731F3C" w14:textId="77777777" w:rsidR="00EB5891" w:rsidRDefault="00EB5891">
            <w:pPr>
              <w:pStyle w:val="normal0"/>
              <w:widowControl w:val="0"/>
              <w:rPr>
                <w:rFonts w:ascii="Times New Roman" w:eastAsia="Times New Roman" w:hAnsi="Times New Roman" w:cs="Times New Roman"/>
                <w:sz w:val="24"/>
                <w:szCs w:val="24"/>
              </w:rPr>
            </w:pPr>
          </w:p>
        </w:tc>
        <w:tc>
          <w:tcPr>
            <w:tcW w:w="2250" w:type="dxa"/>
            <w:tcBorders>
              <w:bottom w:val="single" w:sz="8" w:space="0" w:color="000000"/>
              <w:right w:val="single" w:sz="8" w:space="0" w:color="000000"/>
            </w:tcBorders>
            <w:tcMar>
              <w:top w:w="1" w:type="dxa"/>
              <w:left w:w="1" w:type="dxa"/>
              <w:bottom w:w="1" w:type="dxa"/>
              <w:right w:w="1" w:type="dxa"/>
            </w:tcMar>
          </w:tcPr>
          <w:p w14:paraId="54821757"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UIUC Archives, “Project 500” online exhibit, “Founding of the University;” </w:t>
            </w:r>
          </w:p>
          <w:p w14:paraId="1DC63694"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Williamson 17</w:t>
            </w:r>
          </w:p>
        </w:tc>
      </w:tr>
      <w:tr w:rsidR="00EB5891" w14:paraId="2A0A8DD5" w14:textId="77777777">
        <w:trPr>
          <w:trHeight w:val="540"/>
        </w:trPr>
        <w:tc>
          <w:tcPr>
            <w:tcW w:w="1980" w:type="dxa"/>
            <w:tcBorders>
              <w:left w:val="single" w:sz="8" w:space="0" w:color="000000"/>
              <w:bottom w:val="single" w:sz="8" w:space="0" w:color="000000"/>
              <w:right w:val="single" w:sz="8" w:space="0" w:color="000000"/>
            </w:tcBorders>
            <w:tcMar>
              <w:top w:w="1" w:type="dxa"/>
              <w:left w:w="1" w:type="dxa"/>
              <w:bottom w:w="1" w:type="dxa"/>
              <w:right w:w="1" w:type="dxa"/>
            </w:tcMar>
          </w:tcPr>
          <w:p w14:paraId="28C24FDD"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1887</w:t>
            </w:r>
          </w:p>
          <w:p w14:paraId="417E9E89"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Urbana, Illinois</w:t>
            </w:r>
          </w:p>
        </w:tc>
        <w:tc>
          <w:tcPr>
            <w:tcW w:w="3195" w:type="dxa"/>
            <w:tcBorders>
              <w:bottom w:val="single" w:sz="8" w:space="0" w:color="000000"/>
              <w:right w:val="single" w:sz="8" w:space="0" w:color="000000"/>
            </w:tcBorders>
            <w:tcMar>
              <w:top w:w="1" w:type="dxa"/>
              <w:left w:w="1" w:type="dxa"/>
              <w:bottom w:w="1" w:type="dxa"/>
              <w:right w:w="1" w:type="dxa"/>
            </w:tcMar>
          </w:tcPr>
          <w:p w14:paraId="3194D206"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Jonathan Rogan, the first African American student, was admitted to UIUC, but he left after a year.</w:t>
            </w:r>
          </w:p>
        </w:tc>
        <w:tc>
          <w:tcPr>
            <w:tcW w:w="3015" w:type="dxa"/>
            <w:tcBorders>
              <w:bottom w:val="single" w:sz="8" w:space="0" w:color="000000"/>
              <w:right w:val="single" w:sz="8" w:space="0" w:color="000000"/>
            </w:tcBorders>
            <w:tcMar>
              <w:top w:w="1" w:type="dxa"/>
              <w:left w:w="1" w:type="dxa"/>
              <w:bottom w:w="1" w:type="dxa"/>
              <w:right w:w="1" w:type="dxa"/>
            </w:tcMar>
          </w:tcPr>
          <w:p w14:paraId="354A0B5E" w14:textId="77777777" w:rsidR="00EB5891" w:rsidRDefault="00EB5891">
            <w:pPr>
              <w:pStyle w:val="normal0"/>
              <w:widowControl w:val="0"/>
              <w:rPr>
                <w:rFonts w:ascii="Times New Roman" w:eastAsia="Times New Roman" w:hAnsi="Times New Roman" w:cs="Times New Roman"/>
                <w:sz w:val="24"/>
                <w:szCs w:val="24"/>
              </w:rPr>
            </w:pPr>
          </w:p>
        </w:tc>
        <w:tc>
          <w:tcPr>
            <w:tcW w:w="2250" w:type="dxa"/>
            <w:tcBorders>
              <w:bottom w:val="single" w:sz="8" w:space="0" w:color="000000"/>
              <w:right w:val="single" w:sz="8" w:space="0" w:color="000000"/>
            </w:tcBorders>
            <w:tcMar>
              <w:top w:w="1" w:type="dxa"/>
              <w:left w:w="1" w:type="dxa"/>
              <w:bottom w:w="1" w:type="dxa"/>
              <w:right w:w="1" w:type="dxa"/>
            </w:tcMar>
          </w:tcPr>
          <w:p w14:paraId="74A2F128"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UIUC Archives, “Project 500” online exhibit, “</w:t>
            </w:r>
            <w:r>
              <w:rPr>
                <w:rFonts w:ascii="Times New Roman" w:eastAsia="Times New Roman" w:hAnsi="Times New Roman" w:cs="Times New Roman"/>
                <w:color w:val="332211"/>
                <w:sz w:val="24"/>
                <w:szCs w:val="24"/>
              </w:rPr>
              <w:t>First African American Students</w:t>
            </w:r>
            <w:r>
              <w:rPr>
                <w:rFonts w:ascii="Times New Roman" w:eastAsia="Times New Roman" w:hAnsi="Times New Roman" w:cs="Times New Roman"/>
                <w:sz w:val="24"/>
                <w:szCs w:val="24"/>
              </w:rPr>
              <w:t>”</w:t>
            </w:r>
          </w:p>
        </w:tc>
      </w:tr>
      <w:tr w:rsidR="00EB5891" w14:paraId="0653553F" w14:textId="77777777">
        <w:trPr>
          <w:trHeight w:val="540"/>
        </w:trPr>
        <w:tc>
          <w:tcPr>
            <w:tcW w:w="1980" w:type="dxa"/>
            <w:tcBorders>
              <w:left w:val="single" w:sz="8" w:space="0" w:color="000000"/>
              <w:bottom w:val="single" w:sz="8" w:space="0" w:color="000000"/>
              <w:right w:val="single" w:sz="8" w:space="0" w:color="000000"/>
            </w:tcBorders>
            <w:tcMar>
              <w:top w:w="1" w:type="dxa"/>
              <w:left w:w="1" w:type="dxa"/>
              <w:bottom w:w="1" w:type="dxa"/>
              <w:right w:w="1" w:type="dxa"/>
            </w:tcMar>
          </w:tcPr>
          <w:p w14:paraId="71EFF96B"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1900 and 1906</w:t>
            </w:r>
          </w:p>
          <w:p w14:paraId="1E40844B"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Urbana, Illinois</w:t>
            </w:r>
          </w:p>
        </w:tc>
        <w:tc>
          <w:tcPr>
            <w:tcW w:w="3195" w:type="dxa"/>
            <w:tcBorders>
              <w:bottom w:val="single" w:sz="8" w:space="0" w:color="000000"/>
              <w:right w:val="single" w:sz="8" w:space="0" w:color="000000"/>
            </w:tcBorders>
            <w:tcMar>
              <w:top w:w="1" w:type="dxa"/>
              <w:left w:w="1" w:type="dxa"/>
              <w:bottom w:w="1" w:type="dxa"/>
              <w:right w:w="1" w:type="dxa"/>
            </w:tcMar>
          </w:tcPr>
          <w:p w14:paraId="2C2005FE"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The first African American student to gradua</w:t>
            </w:r>
            <w:r>
              <w:rPr>
                <w:rFonts w:ascii="Times New Roman" w:eastAsia="Times New Roman" w:hAnsi="Times New Roman" w:cs="Times New Roman"/>
                <w:sz w:val="24"/>
                <w:szCs w:val="24"/>
              </w:rPr>
              <w:t xml:space="preserve">te, William </w:t>
            </w:r>
            <w:r>
              <w:rPr>
                <w:rFonts w:ascii="Times New Roman" w:eastAsia="Times New Roman" w:hAnsi="Times New Roman" w:cs="Times New Roman"/>
                <w:sz w:val="24"/>
                <w:szCs w:val="24"/>
              </w:rPr>
              <w:lastRenderedPageBreak/>
              <w:t xml:space="preserve">Walter Smith, earned his degree in 1900. The first female African American to graduate was </w:t>
            </w:r>
            <w:proofErr w:type="spellStart"/>
            <w:r>
              <w:rPr>
                <w:rFonts w:ascii="Times New Roman" w:eastAsia="Times New Roman" w:hAnsi="Times New Roman" w:cs="Times New Roman"/>
                <w:sz w:val="24"/>
                <w:szCs w:val="24"/>
              </w:rPr>
              <w:t>Maudelle</w:t>
            </w:r>
            <w:proofErr w:type="spellEnd"/>
            <w:r>
              <w:rPr>
                <w:rFonts w:ascii="Times New Roman" w:eastAsia="Times New Roman" w:hAnsi="Times New Roman" w:cs="Times New Roman"/>
                <w:sz w:val="24"/>
                <w:szCs w:val="24"/>
              </w:rPr>
              <w:t xml:space="preserve"> Brown in 1906.</w:t>
            </w:r>
          </w:p>
        </w:tc>
        <w:tc>
          <w:tcPr>
            <w:tcW w:w="3015" w:type="dxa"/>
            <w:tcBorders>
              <w:bottom w:val="single" w:sz="8" w:space="0" w:color="000000"/>
              <w:right w:val="single" w:sz="8" w:space="0" w:color="000000"/>
            </w:tcBorders>
            <w:tcMar>
              <w:top w:w="1" w:type="dxa"/>
              <w:left w:w="1" w:type="dxa"/>
              <w:bottom w:w="1" w:type="dxa"/>
              <w:right w:w="1" w:type="dxa"/>
            </w:tcMar>
          </w:tcPr>
          <w:p w14:paraId="6392A575" w14:textId="77777777" w:rsidR="00EB5891" w:rsidRDefault="00EB5891">
            <w:pPr>
              <w:pStyle w:val="normal0"/>
              <w:widowControl w:val="0"/>
              <w:rPr>
                <w:rFonts w:ascii="Times New Roman" w:eastAsia="Times New Roman" w:hAnsi="Times New Roman" w:cs="Times New Roman"/>
                <w:sz w:val="24"/>
                <w:szCs w:val="24"/>
              </w:rPr>
            </w:pPr>
          </w:p>
        </w:tc>
        <w:tc>
          <w:tcPr>
            <w:tcW w:w="2250" w:type="dxa"/>
            <w:tcBorders>
              <w:bottom w:val="single" w:sz="8" w:space="0" w:color="000000"/>
              <w:right w:val="single" w:sz="8" w:space="0" w:color="000000"/>
            </w:tcBorders>
            <w:tcMar>
              <w:top w:w="1" w:type="dxa"/>
              <w:left w:w="1" w:type="dxa"/>
              <w:bottom w:w="1" w:type="dxa"/>
              <w:right w:w="1" w:type="dxa"/>
            </w:tcMar>
          </w:tcPr>
          <w:p w14:paraId="0BE25E96"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UIUC Archives, “Project 500” online </w:t>
            </w:r>
            <w:r>
              <w:rPr>
                <w:rFonts w:ascii="Times New Roman" w:eastAsia="Times New Roman" w:hAnsi="Times New Roman" w:cs="Times New Roman"/>
                <w:sz w:val="24"/>
                <w:szCs w:val="24"/>
              </w:rPr>
              <w:lastRenderedPageBreak/>
              <w:t>exhibit, “</w:t>
            </w:r>
            <w:r>
              <w:rPr>
                <w:rFonts w:ascii="Times New Roman" w:eastAsia="Times New Roman" w:hAnsi="Times New Roman" w:cs="Times New Roman"/>
                <w:color w:val="332211"/>
                <w:sz w:val="24"/>
                <w:szCs w:val="24"/>
              </w:rPr>
              <w:t>The First African American Students</w:t>
            </w:r>
            <w:r>
              <w:rPr>
                <w:rFonts w:ascii="Times New Roman" w:eastAsia="Times New Roman" w:hAnsi="Times New Roman" w:cs="Times New Roman"/>
                <w:sz w:val="24"/>
                <w:szCs w:val="24"/>
              </w:rPr>
              <w:t>”</w:t>
            </w:r>
          </w:p>
        </w:tc>
      </w:tr>
      <w:tr w:rsidR="00EB5891" w14:paraId="6A687E2A" w14:textId="77777777">
        <w:trPr>
          <w:trHeight w:val="540"/>
        </w:trPr>
        <w:tc>
          <w:tcPr>
            <w:tcW w:w="1980" w:type="dxa"/>
            <w:tcBorders>
              <w:left w:val="single" w:sz="8" w:space="0" w:color="000000"/>
              <w:bottom w:val="single" w:sz="8" w:space="0" w:color="000000"/>
              <w:right w:val="single" w:sz="8" w:space="0" w:color="000000"/>
            </w:tcBorders>
            <w:tcMar>
              <w:top w:w="1" w:type="dxa"/>
              <w:left w:w="1" w:type="dxa"/>
              <w:bottom w:w="1" w:type="dxa"/>
              <w:right w:w="1" w:type="dxa"/>
            </w:tcMar>
          </w:tcPr>
          <w:p w14:paraId="45FA0091"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1900 - 1968</w:t>
            </w:r>
          </w:p>
          <w:p w14:paraId="22F49ABC"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Urbana, Illinois</w:t>
            </w:r>
          </w:p>
        </w:tc>
        <w:tc>
          <w:tcPr>
            <w:tcW w:w="3195" w:type="dxa"/>
            <w:tcBorders>
              <w:bottom w:val="single" w:sz="8" w:space="0" w:color="000000"/>
              <w:right w:val="single" w:sz="8" w:space="0" w:color="000000"/>
            </w:tcBorders>
            <w:tcMar>
              <w:top w:w="1" w:type="dxa"/>
              <w:left w:w="1" w:type="dxa"/>
              <w:bottom w:w="1" w:type="dxa"/>
              <w:right w:w="1" w:type="dxa"/>
            </w:tcMar>
          </w:tcPr>
          <w:p w14:paraId="1CE0F2E5"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Although the number of students of color at UIUC gradually increased, so did the overall size of the student body.  As a result, the percentage of black students on campus never rose above 1% of the population -- until Project 500 was implemented in 1968.</w:t>
            </w:r>
          </w:p>
        </w:tc>
        <w:tc>
          <w:tcPr>
            <w:tcW w:w="3015" w:type="dxa"/>
            <w:tcBorders>
              <w:bottom w:val="single" w:sz="8" w:space="0" w:color="000000"/>
              <w:right w:val="single" w:sz="8" w:space="0" w:color="000000"/>
            </w:tcBorders>
            <w:tcMar>
              <w:top w:w="1" w:type="dxa"/>
              <w:left w:w="1" w:type="dxa"/>
              <w:bottom w:w="1" w:type="dxa"/>
              <w:right w:w="1" w:type="dxa"/>
            </w:tcMar>
          </w:tcPr>
          <w:p w14:paraId="7CD2F170"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2250" w:type="dxa"/>
            <w:tcBorders>
              <w:bottom w:val="single" w:sz="8" w:space="0" w:color="000000"/>
              <w:right w:val="single" w:sz="8" w:space="0" w:color="000000"/>
            </w:tcBorders>
            <w:tcMar>
              <w:top w:w="1" w:type="dxa"/>
              <w:left w:w="1" w:type="dxa"/>
              <w:bottom w:w="1" w:type="dxa"/>
              <w:right w:w="1" w:type="dxa"/>
            </w:tcMar>
          </w:tcPr>
          <w:p w14:paraId="43854302"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UIUC Archives, “Project 500” online exhibit, “Before 1968: A White Campus”</w:t>
            </w:r>
          </w:p>
        </w:tc>
      </w:tr>
      <w:tr w:rsidR="00EB5891" w14:paraId="170AFC84" w14:textId="77777777">
        <w:trPr>
          <w:trHeight w:val="540"/>
        </w:trPr>
        <w:tc>
          <w:tcPr>
            <w:tcW w:w="1980" w:type="dxa"/>
            <w:tcBorders>
              <w:left w:val="single" w:sz="8" w:space="0" w:color="000000"/>
              <w:bottom w:val="single" w:sz="8" w:space="0" w:color="000000"/>
              <w:right w:val="single" w:sz="8" w:space="0" w:color="000000"/>
            </w:tcBorders>
            <w:tcMar>
              <w:top w:w="1" w:type="dxa"/>
              <w:left w:w="1" w:type="dxa"/>
              <w:bottom w:w="1" w:type="dxa"/>
              <w:right w:w="1" w:type="dxa"/>
            </w:tcMar>
          </w:tcPr>
          <w:p w14:paraId="45BCF450"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1920s</w:t>
            </w:r>
          </w:p>
          <w:p w14:paraId="7CF57FD8"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Champaign County, Illinois</w:t>
            </w:r>
          </w:p>
        </w:tc>
        <w:tc>
          <w:tcPr>
            <w:tcW w:w="3195" w:type="dxa"/>
            <w:tcBorders>
              <w:bottom w:val="single" w:sz="8" w:space="0" w:color="000000"/>
              <w:right w:val="single" w:sz="8" w:space="0" w:color="000000"/>
            </w:tcBorders>
            <w:tcMar>
              <w:top w:w="1" w:type="dxa"/>
              <w:left w:w="1" w:type="dxa"/>
              <w:bottom w:w="1" w:type="dxa"/>
              <w:right w:w="1" w:type="dxa"/>
            </w:tcMar>
          </w:tcPr>
          <w:p w14:paraId="7136790D"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The Ku Klux Klan was known to be active in Champaign County, and in 1924, a massive KKK rally in was held in a park in Urbana.</w:t>
            </w:r>
          </w:p>
        </w:tc>
        <w:tc>
          <w:tcPr>
            <w:tcW w:w="3015" w:type="dxa"/>
            <w:tcBorders>
              <w:bottom w:val="single" w:sz="8" w:space="0" w:color="000000"/>
              <w:right w:val="single" w:sz="8" w:space="0" w:color="000000"/>
            </w:tcBorders>
            <w:tcMar>
              <w:top w:w="1" w:type="dxa"/>
              <w:left w:w="1" w:type="dxa"/>
              <w:bottom w:w="1" w:type="dxa"/>
              <w:right w:w="1" w:type="dxa"/>
            </w:tcMar>
          </w:tcPr>
          <w:p w14:paraId="51CEE407" w14:textId="77777777" w:rsidR="00EB5891" w:rsidRDefault="00EB5891">
            <w:pPr>
              <w:pStyle w:val="normal0"/>
              <w:widowControl w:val="0"/>
              <w:rPr>
                <w:rFonts w:ascii="Times New Roman" w:eastAsia="Times New Roman" w:hAnsi="Times New Roman" w:cs="Times New Roman"/>
                <w:sz w:val="24"/>
                <w:szCs w:val="24"/>
              </w:rPr>
            </w:pPr>
          </w:p>
        </w:tc>
        <w:tc>
          <w:tcPr>
            <w:tcW w:w="2250" w:type="dxa"/>
            <w:tcBorders>
              <w:bottom w:val="single" w:sz="8" w:space="0" w:color="000000"/>
              <w:right w:val="single" w:sz="8" w:space="0" w:color="000000"/>
            </w:tcBorders>
            <w:tcMar>
              <w:top w:w="1" w:type="dxa"/>
              <w:left w:w="1" w:type="dxa"/>
              <w:bottom w:w="1" w:type="dxa"/>
              <w:right w:w="1" w:type="dxa"/>
            </w:tcMar>
          </w:tcPr>
          <w:p w14:paraId="090EC793"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Williamson 16</w:t>
            </w:r>
          </w:p>
        </w:tc>
      </w:tr>
      <w:tr w:rsidR="00EB5891" w14:paraId="2C50137C" w14:textId="77777777">
        <w:trPr>
          <w:trHeight w:val="540"/>
        </w:trPr>
        <w:tc>
          <w:tcPr>
            <w:tcW w:w="1980" w:type="dxa"/>
            <w:tcBorders>
              <w:left w:val="single" w:sz="8" w:space="0" w:color="000000"/>
              <w:bottom w:val="single" w:sz="8" w:space="0" w:color="000000"/>
              <w:right w:val="single" w:sz="8" w:space="0" w:color="000000"/>
            </w:tcBorders>
            <w:tcMar>
              <w:top w:w="1" w:type="dxa"/>
              <w:left w:w="1" w:type="dxa"/>
              <w:bottom w:w="1" w:type="dxa"/>
              <w:right w:w="1" w:type="dxa"/>
            </w:tcMar>
          </w:tcPr>
          <w:p w14:paraId="1B860A94"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1930s</w:t>
            </w:r>
          </w:p>
          <w:p w14:paraId="00509335"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Champaign-Urbana</w:t>
            </w:r>
          </w:p>
        </w:tc>
        <w:tc>
          <w:tcPr>
            <w:tcW w:w="3195" w:type="dxa"/>
            <w:tcBorders>
              <w:bottom w:val="single" w:sz="8" w:space="0" w:color="000000"/>
              <w:right w:val="single" w:sz="8" w:space="0" w:color="000000"/>
            </w:tcBorders>
            <w:tcMar>
              <w:top w:w="1" w:type="dxa"/>
              <w:left w:w="1" w:type="dxa"/>
              <w:bottom w:w="1" w:type="dxa"/>
              <w:right w:w="1" w:type="dxa"/>
            </w:tcMar>
          </w:tcPr>
          <w:p w14:paraId="2E2BF7A6"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Housing in the twin cities was extremely segregated by race, due to restrictive covenants and discriminatory lending policies of banks.  Because housing was segregated, so were many public schools. </w:t>
            </w:r>
          </w:p>
        </w:tc>
        <w:tc>
          <w:tcPr>
            <w:tcW w:w="3015" w:type="dxa"/>
            <w:tcBorders>
              <w:bottom w:val="single" w:sz="8" w:space="0" w:color="000000"/>
              <w:right w:val="single" w:sz="8" w:space="0" w:color="000000"/>
            </w:tcBorders>
            <w:tcMar>
              <w:top w:w="1" w:type="dxa"/>
              <w:left w:w="1" w:type="dxa"/>
              <w:bottom w:w="1" w:type="dxa"/>
              <w:right w:w="1" w:type="dxa"/>
            </w:tcMar>
          </w:tcPr>
          <w:p w14:paraId="67C87944" w14:textId="77777777" w:rsidR="00EB5891" w:rsidRDefault="00EB5891">
            <w:pPr>
              <w:pStyle w:val="normal0"/>
              <w:widowControl w:val="0"/>
              <w:rPr>
                <w:rFonts w:ascii="Times New Roman" w:eastAsia="Times New Roman" w:hAnsi="Times New Roman" w:cs="Times New Roman"/>
                <w:sz w:val="24"/>
                <w:szCs w:val="24"/>
              </w:rPr>
            </w:pPr>
          </w:p>
        </w:tc>
        <w:tc>
          <w:tcPr>
            <w:tcW w:w="2250" w:type="dxa"/>
            <w:tcBorders>
              <w:bottom w:val="single" w:sz="8" w:space="0" w:color="000000"/>
              <w:right w:val="single" w:sz="8" w:space="0" w:color="000000"/>
            </w:tcBorders>
            <w:tcMar>
              <w:top w:w="1" w:type="dxa"/>
              <w:left w:w="1" w:type="dxa"/>
              <w:bottom w:w="1" w:type="dxa"/>
              <w:right w:w="1" w:type="dxa"/>
            </w:tcMar>
          </w:tcPr>
          <w:p w14:paraId="10E10564"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Williamson 16</w:t>
            </w:r>
          </w:p>
          <w:p w14:paraId="23987F15" w14:textId="77777777" w:rsidR="00EB5891" w:rsidRDefault="00EB5891">
            <w:pPr>
              <w:pStyle w:val="normal0"/>
              <w:widowControl w:val="0"/>
              <w:rPr>
                <w:rFonts w:ascii="Times New Roman" w:eastAsia="Times New Roman" w:hAnsi="Times New Roman" w:cs="Times New Roman"/>
                <w:sz w:val="24"/>
                <w:szCs w:val="24"/>
              </w:rPr>
            </w:pPr>
          </w:p>
        </w:tc>
      </w:tr>
      <w:tr w:rsidR="00EB5891" w14:paraId="1287B8D0" w14:textId="77777777">
        <w:trPr>
          <w:trHeight w:val="540"/>
        </w:trPr>
        <w:tc>
          <w:tcPr>
            <w:tcW w:w="1980" w:type="dxa"/>
            <w:tcBorders>
              <w:left w:val="single" w:sz="8" w:space="0" w:color="000000"/>
              <w:bottom w:val="single" w:sz="8" w:space="0" w:color="000000"/>
              <w:right w:val="single" w:sz="8" w:space="0" w:color="000000"/>
            </w:tcBorders>
            <w:tcMar>
              <w:top w:w="1" w:type="dxa"/>
              <w:left w:w="1" w:type="dxa"/>
              <w:bottom w:w="1" w:type="dxa"/>
              <w:right w:w="1" w:type="dxa"/>
            </w:tcMar>
          </w:tcPr>
          <w:p w14:paraId="17084122"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1900 - 1945</w:t>
            </w:r>
          </w:p>
        </w:tc>
        <w:tc>
          <w:tcPr>
            <w:tcW w:w="3195" w:type="dxa"/>
            <w:tcBorders>
              <w:bottom w:val="single" w:sz="8" w:space="0" w:color="000000"/>
              <w:right w:val="single" w:sz="8" w:space="0" w:color="000000"/>
            </w:tcBorders>
            <w:tcMar>
              <w:top w:w="1" w:type="dxa"/>
              <w:left w:w="1" w:type="dxa"/>
              <w:bottom w:w="1" w:type="dxa"/>
              <w:right w:w="1" w:type="dxa"/>
            </w:tcMar>
          </w:tcPr>
          <w:p w14:paraId="32B77AF6"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Housi</w:t>
            </w:r>
            <w:r>
              <w:rPr>
                <w:rFonts w:ascii="Times New Roman" w:eastAsia="Times New Roman" w:hAnsi="Times New Roman" w:cs="Times New Roman"/>
                <w:sz w:val="24"/>
                <w:szCs w:val="24"/>
              </w:rPr>
              <w:t>ng options for African American students at UIUC were limited. Because they were not welcome in on-campus dorms or in private apartments, most African American students had to rent rooms from local African American households -- most of whom lived in the “</w:t>
            </w:r>
            <w:r>
              <w:rPr>
                <w:rFonts w:ascii="Times New Roman" w:eastAsia="Times New Roman" w:hAnsi="Times New Roman" w:cs="Times New Roman"/>
                <w:sz w:val="24"/>
                <w:szCs w:val="24"/>
              </w:rPr>
              <w:t xml:space="preserve">North End,” far from campus.  A few of the black fraternities or sororities had houses where students could live. It was only in 1945, after a concerted campaign, that black female students were allowed to live in </w:t>
            </w:r>
            <w:r>
              <w:rPr>
                <w:rFonts w:ascii="Times New Roman" w:eastAsia="Times New Roman" w:hAnsi="Times New Roman" w:cs="Times New Roman"/>
                <w:sz w:val="24"/>
                <w:szCs w:val="24"/>
              </w:rPr>
              <w:lastRenderedPageBreak/>
              <w:t>UIUC dorms.  Even then, the housing office</w:t>
            </w:r>
            <w:r>
              <w:rPr>
                <w:rFonts w:ascii="Times New Roman" w:eastAsia="Times New Roman" w:hAnsi="Times New Roman" w:cs="Times New Roman"/>
                <w:sz w:val="24"/>
                <w:szCs w:val="24"/>
              </w:rPr>
              <w:t xml:space="preserve"> would never put black and white students together in one room.</w:t>
            </w:r>
          </w:p>
        </w:tc>
        <w:tc>
          <w:tcPr>
            <w:tcW w:w="3015" w:type="dxa"/>
            <w:tcBorders>
              <w:bottom w:val="single" w:sz="8" w:space="0" w:color="000000"/>
              <w:right w:val="single" w:sz="8" w:space="0" w:color="000000"/>
            </w:tcBorders>
            <w:tcMar>
              <w:top w:w="1" w:type="dxa"/>
              <w:left w:w="1" w:type="dxa"/>
              <w:bottom w:w="1" w:type="dxa"/>
              <w:right w:w="1" w:type="dxa"/>
            </w:tcMar>
          </w:tcPr>
          <w:p w14:paraId="43F4FF64" w14:textId="77777777" w:rsidR="00EB5891" w:rsidRDefault="00EB5891">
            <w:pPr>
              <w:pStyle w:val="normal0"/>
              <w:widowControl w:val="0"/>
              <w:rPr>
                <w:rFonts w:ascii="Times New Roman" w:eastAsia="Times New Roman" w:hAnsi="Times New Roman" w:cs="Times New Roman"/>
                <w:sz w:val="24"/>
                <w:szCs w:val="24"/>
              </w:rPr>
            </w:pPr>
          </w:p>
        </w:tc>
        <w:tc>
          <w:tcPr>
            <w:tcW w:w="2250" w:type="dxa"/>
            <w:tcBorders>
              <w:bottom w:val="single" w:sz="8" w:space="0" w:color="000000"/>
              <w:right w:val="single" w:sz="8" w:space="0" w:color="000000"/>
            </w:tcBorders>
            <w:tcMar>
              <w:top w:w="1" w:type="dxa"/>
              <w:left w:w="1" w:type="dxa"/>
              <w:bottom w:w="1" w:type="dxa"/>
              <w:right w:w="1" w:type="dxa"/>
            </w:tcMar>
          </w:tcPr>
          <w:p w14:paraId="28F678DF"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Williamson 17-18</w:t>
            </w:r>
          </w:p>
        </w:tc>
      </w:tr>
      <w:tr w:rsidR="00EB5891" w14:paraId="11CDAF52" w14:textId="77777777">
        <w:trPr>
          <w:trHeight w:val="540"/>
        </w:trPr>
        <w:tc>
          <w:tcPr>
            <w:tcW w:w="1980" w:type="dxa"/>
            <w:tcBorders>
              <w:left w:val="single" w:sz="8" w:space="0" w:color="000000"/>
              <w:bottom w:val="single" w:sz="8" w:space="0" w:color="000000"/>
              <w:right w:val="single" w:sz="8" w:space="0" w:color="000000"/>
            </w:tcBorders>
            <w:tcMar>
              <w:top w:w="1" w:type="dxa"/>
              <w:left w:w="1" w:type="dxa"/>
              <w:bottom w:w="1" w:type="dxa"/>
              <w:right w:w="1" w:type="dxa"/>
            </w:tcMar>
          </w:tcPr>
          <w:p w14:paraId="7BC9C712"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1930’s</w:t>
            </w:r>
          </w:p>
          <w:p w14:paraId="06E6F0A2"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UIUC</w:t>
            </w:r>
          </w:p>
        </w:tc>
        <w:tc>
          <w:tcPr>
            <w:tcW w:w="3195" w:type="dxa"/>
            <w:tcBorders>
              <w:bottom w:val="single" w:sz="8" w:space="0" w:color="000000"/>
              <w:right w:val="single" w:sz="8" w:space="0" w:color="000000"/>
            </w:tcBorders>
            <w:tcMar>
              <w:top w:w="1" w:type="dxa"/>
              <w:left w:w="1" w:type="dxa"/>
              <w:bottom w:w="1" w:type="dxa"/>
              <w:right w:w="1" w:type="dxa"/>
            </w:tcMar>
          </w:tcPr>
          <w:p w14:paraId="64AA2A53"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African American students at the U of I started the </w:t>
            </w:r>
            <w:proofErr w:type="gramStart"/>
            <w:r>
              <w:rPr>
                <w:rFonts w:ascii="Times New Roman" w:eastAsia="Times New Roman" w:hAnsi="Times New Roman" w:cs="Times New Roman"/>
                <w:sz w:val="24"/>
                <w:szCs w:val="24"/>
              </w:rPr>
              <w:t>Cenacle,</w:t>
            </w:r>
            <w:proofErr w:type="gramEnd"/>
            <w:r>
              <w:rPr>
                <w:rFonts w:ascii="Times New Roman" w:eastAsia="Times New Roman" w:hAnsi="Times New Roman" w:cs="Times New Roman"/>
                <w:sz w:val="24"/>
                <w:szCs w:val="24"/>
              </w:rPr>
              <w:t xml:space="preserve"> an organization that put on plays, sponsored book exhibits and publicized cultural achievements of African Americans.  In 1938, black students published a journal, </w:t>
            </w:r>
            <w:r>
              <w:rPr>
                <w:rFonts w:ascii="Times New Roman" w:eastAsia="Times New Roman" w:hAnsi="Times New Roman" w:cs="Times New Roman"/>
                <w:i/>
                <w:sz w:val="24"/>
                <w:szCs w:val="24"/>
              </w:rPr>
              <w:t xml:space="preserve">The </w:t>
            </w:r>
            <w:proofErr w:type="gramStart"/>
            <w:r>
              <w:rPr>
                <w:rFonts w:ascii="Times New Roman" w:eastAsia="Times New Roman" w:hAnsi="Times New Roman" w:cs="Times New Roman"/>
                <w:i/>
                <w:sz w:val="24"/>
                <w:szCs w:val="24"/>
              </w:rPr>
              <w:t>Scribbler</w:t>
            </w:r>
            <w:r>
              <w:rPr>
                <w:rFonts w:ascii="Times New Roman" w:eastAsia="Times New Roman" w:hAnsi="Times New Roman" w:cs="Times New Roman"/>
                <w:sz w:val="24"/>
                <w:szCs w:val="24"/>
              </w:rPr>
              <w:t>, that</w:t>
            </w:r>
            <w:proofErr w:type="gramEnd"/>
            <w:r>
              <w:rPr>
                <w:rFonts w:ascii="Times New Roman" w:eastAsia="Times New Roman" w:hAnsi="Times New Roman" w:cs="Times New Roman"/>
                <w:sz w:val="24"/>
                <w:szCs w:val="24"/>
              </w:rPr>
              <w:t xml:space="preserve"> addressed r</w:t>
            </w:r>
            <w:r>
              <w:rPr>
                <w:rFonts w:ascii="Times New Roman" w:eastAsia="Times New Roman" w:hAnsi="Times New Roman" w:cs="Times New Roman"/>
                <w:sz w:val="24"/>
                <w:szCs w:val="24"/>
              </w:rPr>
              <w:t>acial segregation as well as other issues.</w:t>
            </w:r>
          </w:p>
        </w:tc>
        <w:tc>
          <w:tcPr>
            <w:tcW w:w="3015" w:type="dxa"/>
            <w:tcBorders>
              <w:bottom w:val="single" w:sz="8" w:space="0" w:color="000000"/>
              <w:right w:val="single" w:sz="8" w:space="0" w:color="000000"/>
            </w:tcBorders>
            <w:tcMar>
              <w:top w:w="1" w:type="dxa"/>
              <w:left w:w="1" w:type="dxa"/>
              <w:bottom w:w="1" w:type="dxa"/>
              <w:right w:w="1" w:type="dxa"/>
            </w:tcMar>
          </w:tcPr>
          <w:p w14:paraId="6F26AA2F" w14:textId="77777777" w:rsidR="00EB5891" w:rsidRDefault="00EB5891">
            <w:pPr>
              <w:pStyle w:val="normal0"/>
              <w:widowControl w:val="0"/>
              <w:rPr>
                <w:rFonts w:ascii="Times New Roman" w:eastAsia="Times New Roman" w:hAnsi="Times New Roman" w:cs="Times New Roman"/>
                <w:sz w:val="24"/>
                <w:szCs w:val="24"/>
              </w:rPr>
            </w:pPr>
          </w:p>
        </w:tc>
        <w:tc>
          <w:tcPr>
            <w:tcW w:w="2250" w:type="dxa"/>
            <w:tcBorders>
              <w:bottom w:val="single" w:sz="8" w:space="0" w:color="000000"/>
              <w:right w:val="single" w:sz="8" w:space="0" w:color="000000"/>
            </w:tcBorders>
            <w:tcMar>
              <w:top w:w="1" w:type="dxa"/>
              <w:left w:w="1" w:type="dxa"/>
              <w:bottom w:w="1" w:type="dxa"/>
              <w:right w:w="1" w:type="dxa"/>
            </w:tcMar>
          </w:tcPr>
          <w:p w14:paraId="395BCCD4"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Williamson 19</w:t>
            </w:r>
          </w:p>
        </w:tc>
      </w:tr>
      <w:tr w:rsidR="00EB5891" w14:paraId="0959B32A" w14:textId="77777777">
        <w:trPr>
          <w:trHeight w:val="540"/>
        </w:trPr>
        <w:tc>
          <w:tcPr>
            <w:tcW w:w="1980" w:type="dxa"/>
            <w:tcBorders>
              <w:left w:val="single" w:sz="8" w:space="0" w:color="000000"/>
              <w:bottom w:val="single" w:sz="8" w:space="0" w:color="000000"/>
              <w:right w:val="single" w:sz="8" w:space="0" w:color="000000"/>
            </w:tcBorders>
            <w:tcMar>
              <w:top w:w="1" w:type="dxa"/>
              <w:left w:w="1" w:type="dxa"/>
              <w:bottom w:w="1" w:type="dxa"/>
              <w:right w:w="1" w:type="dxa"/>
            </w:tcMar>
          </w:tcPr>
          <w:p w14:paraId="1ACB8926"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1940s</w:t>
            </w:r>
          </w:p>
          <w:p w14:paraId="0D593EAA"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Champaign-Urbana </w:t>
            </w:r>
          </w:p>
          <w:p w14:paraId="33C5BAA7" w14:textId="77777777" w:rsidR="00EB5891" w:rsidRDefault="00EB5891">
            <w:pPr>
              <w:pStyle w:val="normal0"/>
              <w:widowControl w:val="0"/>
              <w:rPr>
                <w:rFonts w:ascii="Times New Roman" w:eastAsia="Times New Roman" w:hAnsi="Times New Roman" w:cs="Times New Roman"/>
                <w:sz w:val="24"/>
                <w:szCs w:val="24"/>
              </w:rPr>
            </w:pPr>
          </w:p>
        </w:tc>
        <w:tc>
          <w:tcPr>
            <w:tcW w:w="3195" w:type="dxa"/>
            <w:tcBorders>
              <w:bottom w:val="single" w:sz="8" w:space="0" w:color="000000"/>
              <w:right w:val="single" w:sz="8" w:space="0" w:color="000000"/>
            </w:tcBorders>
            <w:tcMar>
              <w:top w:w="1" w:type="dxa"/>
              <w:left w:w="1" w:type="dxa"/>
              <w:bottom w:w="1" w:type="dxa"/>
              <w:right w:w="1" w:type="dxa"/>
            </w:tcMar>
          </w:tcPr>
          <w:p w14:paraId="439669AA"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Claude “Buddy” Young, an African American student, was a running back for the football team, and his performance on the field was often celebrated. However, he and other bl</w:t>
            </w:r>
            <w:r>
              <w:rPr>
                <w:rFonts w:ascii="Times New Roman" w:eastAsia="Times New Roman" w:hAnsi="Times New Roman" w:cs="Times New Roman"/>
                <w:sz w:val="24"/>
                <w:szCs w:val="24"/>
              </w:rPr>
              <w:t>ack students still encountered racial discrimination. For example, local barbershops would not cut their hair.</w:t>
            </w:r>
          </w:p>
        </w:tc>
        <w:tc>
          <w:tcPr>
            <w:tcW w:w="3015" w:type="dxa"/>
            <w:tcBorders>
              <w:bottom w:val="single" w:sz="8" w:space="0" w:color="000000"/>
              <w:right w:val="single" w:sz="8" w:space="0" w:color="000000"/>
            </w:tcBorders>
            <w:tcMar>
              <w:top w:w="1" w:type="dxa"/>
              <w:left w:w="1" w:type="dxa"/>
              <w:bottom w:w="1" w:type="dxa"/>
              <w:right w:w="1" w:type="dxa"/>
            </w:tcMar>
          </w:tcPr>
          <w:p w14:paraId="7C608628" w14:textId="77777777" w:rsidR="00EB5891" w:rsidRDefault="00EB5891">
            <w:pPr>
              <w:pStyle w:val="normal0"/>
              <w:widowControl w:val="0"/>
              <w:rPr>
                <w:rFonts w:ascii="Times New Roman" w:eastAsia="Times New Roman" w:hAnsi="Times New Roman" w:cs="Times New Roman"/>
                <w:sz w:val="24"/>
                <w:szCs w:val="24"/>
              </w:rPr>
            </w:pPr>
          </w:p>
        </w:tc>
        <w:tc>
          <w:tcPr>
            <w:tcW w:w="2250" w:type="dxa"/>
            <w:tcBorders>
              <w:bottom w:val="single" w:sz="8" w:space="0" w:color="000000"/>
              <w:right w:val="single" w:sz="8" w:space="0" w:color="000000"/>
            </w:tcBorders>
            <w:tcMar>
              <w:top w:w="1" w:type="dxa"/>
              <w:left w:w="1" w:type="dxa"/>
              <w:bottom w:w="1" w:type="dxa"/>
              <w:right w:w="1" w:type="dxa"/>
            </w:tcMar>
          </w:tcPr>
          <w:p w14:paraId="1E079FD9"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UIUC Archives,</w:t>
            </w:r>
          </w:p>
          <w:p w14:paraId="258C104A"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“Project 500” online exhibit, “African American Athletes Before 1968: Claude ‘Buddy’ Young”</w:t>
            </w:r>
          </w:p>
        </w:tc>
      </w:tr>
      <w:tr w:rsidR="00EB5891" w14:paraId="089E4E6F" w14:textId="77777777">
        <w:trPr>
          <w:trHeight w:val="540"/>
        </w:trPr>
        <w:tc>
          <w:tcPr>
            <w:tcW w:w="1980" w:type="dxa"/>
            <w:tcBorders>
              <w:left w:val="single" w:sz="8" w:space="0" w:color="000000"/>
              <w:bottom w:val="single" w:sz="8" w:space="0" w:color="000000"/>
              <w:right w:val="single" w:sz="8" w:space="0" w:color="000000"/>
            </w:tcBorders>
            <w:tcMar>
              <w:top w:w="1" w:type="dxa"/>
              <w:left w:w="1" w:type="dxa"/>
              <w:bottom w:w="1" w:type="dxa"/>
              <w:right w:w="1" w:type="dxa"/>
            </w:tcMar>
          </w:tcPr>
          <w:p w14:paraId="513B0249"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1945</w:t>
            </w:r>
          </w:p>
          <w:p w14:paraId="5FD394EB"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Urbana-Champaign, Illinois</w:t>
            </w:r>
          </w:p>
        </w:tc>
        <w:tc>
          <w:tcPr>
            <w:tcW w:w="3195" w:type="dxa"/>
            <w:tcBorders>
              <w:bottom w:val="single" w:sz="8" w:space="0" w:color="000000"/>
              <w:right w:val="single" w:sz="8" w:space="0" w:color="000000"/>
            </w:tcBorders>
            <w:tcMar>
              <w:top w:w="1" w:type="dxa"/>
              <w:left w:w="1" w:type="dxa"/>
              <w:bottom w:w="1" w:type="dxa"/>
              <w:right w:w="1" w:type="dxa"/>
            </w:tcMar>
          </w:tcPr>
          <w:p w14:paraId="5304D283"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Student Community</w:t>
            </w:r>
            <w:r>
              <w:rPr>
                <w:rFonts w:ascii="Times New Roman" w:eastAsia="Times New Roman" w:hAnsi="Times New Roman" w:cs="Times New Roman"/>
                <w:sz w:val="24"/>
                <w:szCs w:val="24"/>
              </w:rPr>
              <w:br/>
              <w:t>Interracial Committee is formed by a handful of students of color, as well as black and white residents in the community. Its purpose was similar to that of the NAACP.</w:t>
            </w:r>
          </w:p>
        </w:tc>
        <w:tc>
          <w:tcPr>
            <w:tcW w:w="3015" w:type="dxa"/>
            <w:tcBorders>
              <w:bottom w:val="single" w:sz="8" w:space="0" w:color="000000"/>
              <w:right w:val="single" w:sz="8" w:space="0" w:color="000000"/>
            </w:tcBorders>
            <w:tcMar>
              <w:top w:w="1" w:type="dxa"/>
              <w:left w:w="1" w:type="dxa"/>
              <w:bottom w:w="1" w:type="dxa"/>
              <w:right w:w="1" w:type="dxa"/>
            </w:tcMar>
          </w:tcPr>
          <w:p w14:paraId="7B0CCEF1" w14:textId="77777777" w:rsidR="00EB5891" w:rsidRDefault="00EB5891">
            <w:pPr>
              <w:pStyle w:val="normal0"/>
              <w:widowControl w:val="0"/>
              <w:rPr>
                <w:rFonts w:ascii="Times New Roman" w:eastAsia="Times New Roman" w:hAnsi="Times New Roman" w:cs="Times New Roman"/>
                <w:sz w:val="24"/>
                <w:szCs w:val="24"/>
              </w:rPr>
            </w:pPr>
          </w:p>
        </w:tc>
        <w:tc>
          <w:tcPr>
            <w:tcW w:w="2250" w:type="dxa"/>
            <w:tcBorders>
              <w:bottom w:val="single" w:sz="8" w:space="0" w:color="000000"/>
              <w:right w:val="single" w:sz="8" w:space="0" w:color="000000"/>
            </w:tcBorders>
            <w:tcMar>
              <w:top w:w="1" w:type="dxa"/>
              <w:left w:w="1" w:type="dxa"/>
              <w:bottom w:w="1" w:type="dxa"/>
              <w:right w:w="1" w:type="dxa"/>
            </w:tcMar>
          </w:tcPr>
          <w:p w14:paraId="356BEE36"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Williamson 20</w:t>
            </w:r>
          </w:p>
        </w:tc>
      </w:tr>
      <w:tr w:rsidR="00EB5891" w14:paraId="3D165D92" w14:textId="77777777">
        <w:trPr>
          <w:trHeight w:val="540"/>
        </w:trPr>
        <w:tc>
          <w:tcPr>
            <w:tcW w:w="1980" w:type="dxa"/>
            <w:tcBorders>
              <w:left w:val="single" w:sz="8" w:space="0" w:color="000000"/>
              <w:bottom w:val="single" w:sz="8" w:space="0" w:color="000000"/>
              <w:right w:val="single" w:sz="8" w:space="0" w:color="000000"/>
            </w:tcBorders>
            <w:tcMar>
              <w:top w:w="1" w:type="dxa"/>
              <w:left w:w="1" w:type="dxa"/>
              <w:bottom w:w="1" w:type="dxa"/>
              <w:right w:w="1" w:type="dxa"/>
            </w:tcMar>
          </w:tcPr>
          <w:p w14:paraId="3C33B05F"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1950s and 1960s, Urbana-Champaign</w:t>
            </w:r>
          </w:p>
        </w:tc>
        <w:tc>
          <w:tcPr>
            <w:tcW w:w="3195" w:type="dxa"/>
            <w:tcBorders>
              <w:bottom w:val="single" w:sz="8" w:space="0" w:color="000000"/>
              <w:right w:val="single" w:sz="8" w:space="0" w:color="000000"/>
            </w:tcBorders>
            <w:tcMar>
              <w:top w:w="1" w:type="dxa"/>
              <w:left w:w="1" w:type="dxa"/>
              <w:bottom w:w="1" w:type="dxa"/>
              <w:right w:w="1" w:type="dxa"/>
            </w:tcMar>
          </w:tcPr>
          <w:p w14:paraId="26020142"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Through boycotts, picketing and letter writing campaigns, UIUC students and local residents gradually forced public facilities such as restaurants, movie theatres, and barbershops to offer equal service to white and non-white customers.  Although it took l</w:t>
            </w:r>
            <w:r>
              <w:rPr>
                <w:rFonts w:ascii="Times New Roman" w:eastAsia="Times New Roman" w:hAnsi="Times New Roman" w:cs="Times New Roman"/>
                <w:sz w:val="24"/>
                <w:szCs w:val="24"/>
              </w:rPr>
              <w:t xml:space="preserve">onger, they also pushed </w:t>
            </w:r>
            <w:r>
              <w:rPr>
                <w:rFonts w:ascii="Times New Roman" w:eastAsia="Times New Roman" w:hAnsi="Times New Roman" w:cs="Times New Roman"/>
                <w:sz w:val="24"/>
                <w:szCs w:val="24"/>
              </w:rPr>
              <w:lastRenderedPageBreak/>
              <w:t xml:space="preserve">for equal employment opportunities in local stores and firms. </w:t>
            </w:r>
          </w:p>
        </w:tc>
        <w:tc>
          <w:tcPr>
            <w:tcW w:w="3015" w:type="dxa"/>
            <w:tcBorders>
              <w:bottom w:val="single" w:sz="8" w:space="0" w:color="000000"/>
              <w:right w:val="single" w:sz="8" w:space="0" w:color="000000"/>
            </w:tcBorders>
            <w:tcMar>
              <w:top w:w="1" w:type="dxa"/>
              <w:left w:w="1" w:type="dxa"/>
              <w:bottom w:w="1" w:type="dxa"/>
              <w:right w:w="1" w:type="dxa"/>
            </w:tcMar>
          </w:tcPr>
          <w:p w14:paraId="35F7052A" w14:textId="77777777" w:rsidR="00EB5891" w:rsidRDefault="00EB5891">
            <w:pPr>
              <w:pStyle w:val="normal0"/>
              <w:widowControl w:val="0"/>
              <w:rPr>
                <w:rFonts w:ascii="Times New Roman" w:eastAsia="Times New Roman" w:hAnsi="Times New Roman" w:cs="Times New Roman"/>
                <w:sz w:val="24"/>
                <w:szCs w:val="24"/>
              </w:rPr>
            </w:pPr>
          </w:p>
        </w:tc>
        <w:tc>
          <w:tcPr>
            <w:tcW w:w="2250" w:type="dxa"/>
            <w:tcBorders>
              <w:bottom w:val="single" w:sz="8" w:space="0" w:color="000000"/>
              <w:right w:val="single" w:sz="8" w:space="0" w:color="000000"/>
            </w:tcBorders>
            <w:tcMar>
              <w:top w:w="1" w:type="dxa"/>
              <w:left w:w="1" w:type="dxa"/>
              <w:bottom w:w="1" w:type="dxa"/>
              <w:right w:w="1" w:type="dxa"/>
            </w:tcMar>
          </w:tcPr>
          <w:p w14:paraId="608DDAF9"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Williamson 20-21</w:t>
            </w:r>
          </w:p>
        </w:tc>
      </w:tr>
      <w:tr w:rsidR="00EB5891" w14:paraId="6C22F82E" w14:textId="77777777">
        <w:trPr>
          <w:trHeight w:val="540"/>
        </w:trPr>
        <w:tc>
          <w:tcPr>
            <w:tcW w:w="1980" w:type="dxa"/>
            <w:tcBorders>
              <w:left w:val="single" w:sz="8" w:space="0" w:color="000000"/>
              <w:bottom w:val="single" w:sz="8" w:space="0" w:color="000000"/>
              <w:right w:val="single" w:sz="8" w:space="0" w:color="000000"/>
            </w:tcBorders>
            <w:tcMar>
              <w:top w:w="1" w:type="dxa"/>
              <w:left w:w="1" w:type="dxa"/>
              <w:bottom w:w="1" w:type="dxa"/>
              <w:right w:w="1" w:type="dxa"/>
            </w:tcMar>
          </w:tcPr>
          <w:p w14:paraId="1E107F16"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1954 - 1960s</w:t>
            </w:r>
          </w:p>
          <w:p w14:paraId="79E828AF"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US</w:t>
            </w:r>
          </w:p>
        </w:tc>
        <w:tc>
          <w:tcPr>
            <w:tcW w:w="3195" w:type="dxa"/>
            <w:tcBorders>
              <w:bottom w:val="single" w:sz="8" w:space="0" w:color="000000"/>
              <w:right w:val="single" w:sz="8" w:space="0" w:color="000000"/>
            </w:tcBorders>
            <w:tcMar>
              <w:top w:w="1" w:type="dxa"/>
              <w:left w:w="1" w:type="dxa"/>
              <w:bottom w:w="1" w:type="dxa"/>
              <w:right w:w="1" w:type="dxa"/>
            </w:tcMar>
          </w:tcPr>
          <w:p w14:paraId="5A6DBC88"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modern civil rights movement became very active, after the Supreme Court affirmed in </w:t>
            </w:r>
            <w:r>
              <w:rPr>
                <w:rFonts w:ascii="Times New Roman" w:eastAsia="Times New Roman" w:hAnsi="Times New Roman" w:cs="Times New Roman"/>
                <w:i/>
                <w:sz w:val="24"/>
                <w:szCs w:val="24"/>
              </w:rPr>
              <w:t>Brown v. Board of Education</w:t>
            </w:r>
            <w:r>
              <w:rPr>
                <w:rFonts w:ascii="Times New Roman" w:eastAsia="Times New Roman" w:hAnsi="Times New Roman" w:cs="Times New Roman"/>
                <w:sz w:val="24"/>
                <w:szCs w:val="24"/>
              </w:rPr>
              <w:t xml:space="preserve"> (1954) that racia</w:t>
            </w:r>
            <w:r>
              <w:rPr>
                <w:rFonts w:ascii="Times New Roman" w:eastAsia="Times New Roman" w:hAnsi="Times New Roman" w:cs="Times New Roman"/>
                <w:sz w:val="24"/>
                <w:szCs w:val="24"/>
              </w:rPr>
              <w:t>l segregation in public education was unconstitutional.</w:t>
            </w:r>
          </w:p>
        </w:tc>
        <w:tc>
          <w:tcPr>
            <w:tcW w:w="3015" w:type="dxa"/>
            <w:tcBorders>
              <w:bottom w:val="single" w:sz="8" w:space="0" w:color="000000"/>
              <w:right w:val="single" w:sz="8" w:space="0" w:color="000000"/>
            </w:tcBorders>
            <w:tcMar>
              <w:top w:w="1" w:type="dxa"/>
              <w:left w:w="1" w:type="dxa"/>
              <w:bottom w:w="1" w:type="dxa"/>
              <w:right w:w="1" w:type="dxa"/>
            </w:tcMar>
          </w:tcPr>
          <w:p w14:paraId="3EE68A18" w14:textId="77777777" w:rsidR="00EB5891" w:rsidRDefault="00EB5891">
            <w:pPr>
              <w:pStyle w:val="normal0"/>
              <w:widowControl w:val="0"/>
              <w:rPr>
                <w:rFonts w:ascii="Times New Roman" w:eastAsia="Times New Roman" w:hAnsi="Times New Roman" w:cs="Times New Roman"/>
                <w:sz w:val="24"/>
                <w:szCs w:val="24"/>
              </w:rPr>
            </w:pPr>
          </w:p>
        </w:tc>
        <w:tc>
          <w:tcPr>
            <w:tcW w:w="2250" w:type="dxa"/>
            <w:tcBorders>
              <w:bottom w:val="single" w:sz="8" w:space="0" w:color="000000"/>
              <w:right w:val="single" w:sz="8" w:space="0" w:color="000000"/>
            </w:tcBorders>
            <w:tcMar>
              <w:top w:w="1" w:type="dxa"/>
              <w:left w:w="1" w:type="dxa"/>
              <w:bottom w:w="1" w:type="dxa"/>
              <w:right w:w="1" w:type="dxa"/>
            </w:tcMar>
          </w:tcPr>
          <w:p w14:paraId="2D4C88A5"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UIUC Archives, “Project 500” online exhibit “Beyond Illinois: The Civil Rights Movement”</w:t>
            </w:r>
          </w:p>
        </w:tc>
      </w:tr>
      <w:tr w:rsidR="00EB5891" w14:paraId="5015C61A" w14:textId="77777777">
        <w:trPr>
          <w:trHeight w:val="540"/>
        </w:trPr>
        <w:tc>
          <w:tcPr>
            <w:tcW w:w="1980" w:type="dxa"/>
            <w:tcBorders>
              <w:left w:val="single" w:sz="8" w:space="0" w:color="000000"/>
              <w:bottom w:val="single" w:sz="8" w:space="0" w:color="000000"/>
              <w:right w:val="single" w:sz="8" w:space="0" w:color="000000"/>
            </w:tcBorders>
            <w:tcMar>
              <w:top w:w="1" w:type="dxa"/>
              <w:left w:w="1" w:type="dxa"/>
              <w:bottom w:w="1" w:type="dxa"/>
              <w:right w:w="1" w:type="dxa"/>
            </w:tcMar>
          </w:tcPr>
          <w:p w14:paraId="1497FF8A"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1964-1965</w:t>
            </w:r>
          </w:p>
          <w:p w14:paraId="26330A4E"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Washington D.C. (for all of US)</w:t>
            </w:r>
          </w:p>
        </w:tc>
        <w:tc>
          <w:tcPr>
            <w:tcW w:w="3195" w:type="dxa"/>
            <w:tcBorders>
              <w:bottom w:val="single" w:sz="8" w:space="0" w:color="000000"/>
              <w:right w:val="single" w:sz="8" w:space="0" w:color="000000"/>
            </w:tcBorders>
            <w:tcMar>
              <w:top w:w="1" w:type="dxa"/>
              <w:left w:w="1" w:type="dxa"/>
              <w:bottom w:w="1" w:type="dxa"/>
              <w:right w:w="1" w:type="dxa"/>
            </w:tcMar>
          </w:tcPr>
          <w:p w14:paraId="0F1F1C85" w14:textId="77777777" w:rsidR="00EB5891" w:rsidRDefault="00C26086">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Congress passed three important civil rights laws:  the 1964 Civil Rights Act, </w:t>
            </w:r>
            <w:r w:rsidR="0083491C">
              <w:rPr>
                <w:rFonts w:ascii="Times New Roman" w:eastAsia="Times New Roman" w:hAnsi="Times New Roman" w:cs="Times New Roman"/>
                <w:sz w:val="24"/>
                <w:szCs w:val="24"/>
              </w:rPr>
              <w:t>the 1965 Voting Rights</w:t>
            </w:r>
            <w:r>
              <w:rPr>
                <w:rFonts w:ascii="Times New Roman" w:eastAsia="Times New Roman" w:hAnsi="Times New Roman" w:cs="Times New Roman"/>
                <w:sz w:val="24"/>
                <w:szCs w:val="24"/>
              </w:rPr>
              <w:t xml:space="preserve"> Act, and t</w:t>
            </w:r>
            <w:r w:rsidR="0083491C">
              <w:rPr>
                <w:rFonts w:ascii="Times New Roman" w:eastAsia="Times New Roman" w:hAnsi="Times New Roman" w:cs="Times New Roman"/>
                <w:sz w:val="24"/>
                <w:szCs w:val="24"/>
              </w:rPr>
              <w:t>he 1965 High</w:t>
            </w:r>
            <w:r>
              <w:rPr>
                <w:rFonts w:ascii="Times New Roman" w:eastAsia="Times New Roman" w:hAnsi="Times New Roman" w:cs="Times New Roman"/>
                <w:sz w:val="24"/>
                <w:szCs w:val="24"/>
              </w:rPr>
              <w:t>er Education Act</w:t>
            </w:r>
            <w:r w:rsidR="0083491C">
              <w:rPr>
                <w:rFonts w:ascii="Times New Roman" w:eastAsia="Times New Roman" w:hAnsi="Times New Roman" w:cs="Times New Roman"/>
                <w:sz w:val="24"/>
                <w:szCs w:val="24"/>
              </w:rPr>
              <w:t>.  The Civil Rights Act required that all universities that received federal funds report the demographics of their student body</w:t>
            </w:r>
            <w:r w:rsidR="0083491C">
              <w:rPr>
                <w:rFonts w:ascii="Times New Roman" w:eastAsia="Times New Roman" w:hAnsi="Times New Roman" w:cs="Times New Roman"/>
                <w:sz w:val="24"/>
                <w:szCs w:val="24"/>
              </w:rPr>
              <w:t>.  The Higher Education Act created new forms of financial aid. These laws forced historically white public universities such as UIUC to be more transparent about the racial diversity of their population and more proactive in offering financial aid to stud</w:t>
            </w:r>
            <w:r w:rsidR="0083491C">
              <w:rPr>
                <w:rFonts w:ascii="Times New Roman" w:eastAsia="Times New Roman" w:hAnsi="Times New Roman" w:cs="Times New Roman"/>
                <w:sz w:val="24"/>
                <w:szCs w:val="24"/>
              </w:rPr>
              <w:t>ents from low-income households.</w:t>
            </w:r>
          </w:p>
        </w:tc>
        <w:tc>
          <w:tcPr>
            <w:tcW w:w="3015" w:type="dxa"/>
            <w:tcBorders>
              <w:bottom w:val="single" w:sz="8" w:space="0" w:color="000000"/>
              <w:right w:val="single" w:sz="8" w:space="0" w:color="000000"/>
            </w:tcBorders>
            <w:tcMar>
              <w:top w:w="1" w:type="dxa"/>
              <w:left w:w="1" w:type="dxa"/>
              <w:bottom w:w="1" w:type="dxa"/>
              <w:right w:w="1" w:type="dxa"/>
            </w:tcMar>
          </w:tcPr>
          <w:p w14:paraId="3795C70D"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2250" w:type="dxa"/>
            <w:tcBorders>
              <w:bottom w:val="single" w:sz="8" w:space="0" w:color="000000"/>
              <w:right w:val="single" w:sz="8" w:space="0" w:color="000000"/>
            </w:tcBorders>
            <w:tcMar>
              <w:top w:w="1" w:type="dxa"/>
              <w:left w:w="1" w:type="dxa"/>
              <w:bottom w:w="1" w:type="dxa"/>
              <w:right w:w="1" w:type="dxa"/>
            </w:tcMar>
          </w:tcPr>
          <w:p w14:paraId="08020210"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UIUC Archives, “Project 500” online exhibit, “</w:t>
            </w:r>
            <w:r>
              <w:rPr>
                <w:rFonts w:ascii="Times New Roman" w:eastAsia="Times New Roman" w:hAnsi="Times New Roman" w:cs="Times New Roman"/>
                <w:color w:val="332211"/>
                <w:sz w:val="24"/>
                <w:szCs w:val="24"/>
              </w:rPr>
              <w:t>Beyond Illinois: The Civil Rights Movement</w:t>
            </w:r>
            <w:r>
              <w:rPr>
                <w:rFonts w:ascii="Times New Roman" w:eastAsia="Times New Roman" w:hAnsi="Times New Roman" w:cs="Times New Roman"/>
                <w:sz w:val="24"/>
                <w:szCs w:val="24"/>
              </w:rPr>
              <w:t>”</w:t>
            </w:r>
            <w:proofErr w:type="gramStart"/>
            <w:r>
              <w:rPr>
                <w:rFonts w:ascii="Times New Roman" w:eastAsia="Times New Roman" w:hAnsi="Times New Roman" w:cs="Times New Roman"/>
                <w:sz w:val="24"/>
                <w:szCs w:val="24"/>
              </w:rPr>
              <w:t>;  Williamson</w:t>
            </w:r>
            <w:proofErr w:type="gramEnd"/>
            <w:r>
              <w:rPr>
                <w:rFonts w:ascii="Times New Roman" w:eastAsia="Times New Roman" w:hAnsi="Times New Roman" w:cs="Times New Roman"/>
                <w:sz w:val="24"/>
                <w:szCs w:val="24"/>
              </w:rPr>
              <w:t xml:space="preserve"> 26</w:t>
            </w:r>
          </w:p>
        </w:tc>
      </w:tr>
      <w:tr w:rsidR="00EB5891" w14:paraId="16FF52DF" w14:textId="77777777">
        <w:trPr>
          <w:trHeight w:val="540"/>
        </w:trPr>
        <w:tc>
          <w:tcPr>
            <w:tcW w:w="1980" w:type="dxa"/>
            <w:tcBorders>
              <w:left w:val="single" w:sz="8" w:space="0" w:color="000000"/>
              <w:bottom w:val="single" w:sz="8" w:space="0" w:color="000000"/>
              <w:right w:val="single" w:sz="8" w:space="0" w:color="000000"/>
            </w:tcBorders>
            <w:tcMar>
              <w:top w:w="1" w:type="dxa"/>
              <w:left w:w="1" w:type="dxa"/>
              <w:bottom w:w="1" w:type="dxa"/>
              <w:right w:w="1" w:type="dxa"/>
            </w:tcMar>
          </w:tcPr>
          <w:p w14:paraId="6E5DA650"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1964-1965</w:t>
            </w:r>
          </w:p>
        </w:tc>
        <w:tc>
          <w:tcPr>
            <w:tcW w:w="3195" w:type="dxa"/>
            <w:tcBorders>
              <w:bottom w:val="single" w:sz="8" w:space="0" w:color="000000"/>
              <w:right w:val="single" w:sz="8" w:space="0" w:color="000000"/>
            </w:tcBorders>
            <w:tcMar>
              <w:top w:w="1" w:type="dxa"/>
              <w:left w:w="1" w:type="dxa"/>
              <w:bottom w:w="1" w:type="dxa"/>
              <w:right w:w="1" w:type="dxa"/>
            </w:tcMar>
          </w:tcPr>
          <w:p w14:paraId="19C24739"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As the baby boom generation came of age, the number of students applying to college increased.  In this year, for the first time in its history, UIUC had to decline admission to qualified applicants.</w:t>
            </w:r>
          </w:p>
        </w:tc>
        <w:tc>
          <w:tcPr>
            <w:tcW w:w="3015" w:type="dxa"/>
            <w:tcBorders>
              <w:bottom w:val="single" w:sz="8" w:space="0" w:color="000000"/>
              <w:right w:val="single" w:sz="8" w:space="0" w:color="000000"/>
            </w:tcBorders>
            <w:tcMar>
              <w:top w:w="1" w:type="dxa"/>
              <w:left w:w="1" w:type="dxa"/>
              <w:bottom w:w="1" w:type="dxa"/>
              <w:right w:w="1" w:type="dxa"/>
            </w:tcMar>
          </w:tcPr>
          <w:p w14:paraId="4D33086F" w14:textId="77777777" w:rsidR="00EB5891" w:rsidRDefault="00EB5891">
            <w:pPr>
              <w:pStyle w:val="normal0"/>
              <w:widowControl w:val="0"/>
              <w:rPr>
                <w:rFonts w:ascii="Times New Roman" w:eastAsia="Times New Roman" w:hAnsi="Times New Roman" w:cs="Times New Roman"/>
                <w:sz w:val="24"/>
                <w:szCs w:val="24"/>
              </w:rPr>
            </w:pPr>
          </w:p>
        </w:tc>
        <w:tc>
          <w:tcPr>
            <w:tcW w:w="2250" w:type="dxa"/>
            <w:tcBorders>
              <w:bottom w:val="single" w:sz="8" w:space="0" w:color="000000"/>
              <w:right w:val="single" w:sz="8" w:space="0" w:color="000000"/>
            </w:tcBorders>
            <w:tcMar>
              <w:top w:w="1" w:type="dxa"/>
              <w:left w:w="1" w:type="dxa"/>
              <w:bottom w:w="1" w:type="dxa"/>
              <w:right w:w="1" w:type="dxa"/>
            </w:tcMar>
          </w:tcPr>
          <w:p w14:paraId="39D7630A"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Williamson 60</w:t>
            </w:r>
          </w:p>
        </w:tc>
      </w:tr>
      <w:tr w:rsidR="00EB5891" w14:paraId="1ED8AE08" w14:textId="77777777">
        <w:trPr>
          <w:trHeight w:val="540"/>
        </w:trPr>
        <w:tc>
          <w:tcPr>
            <w:tcW w:w="1980" w:type="dxa"/>
            <w:tcBorders>
              <w:left w:val="single" w:sz="8" w:space="0" w:color="000000"/>
              <w:bottom w:val="single" w:sz="8" w:space="0" w:color="000000"/>
              <w:right w:val="single" w:sz="8" w:space="0" w:color="000000"/>
            </w:tcBorders>
            <w:tcMar>
              <w:top w:w="1" w:type="dxa"/>
              <w:left w:w="1" w:type="dxa"/>
              <w:bottom w:w="1" w:type="dxa"/>
              <w:right w:w="1" w:type="dxa"/>
            </w:tcMar>
          </w:tcPr>
          <w:p w14:paraId="5C1AFF7D"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June 4, 1965, Washington, DC</w:t>
            </w:r>
          </w:p>
        </w:tc>
        <w:tc>
          <w:tcPr>
            <w:tcW w:w="3195" w:type="dxa"/>
            <w:tcBorders>
              <w:bottom w:val="single" w:sz="8" w:space="0" w:color="000000"/>
              <w:right w:val="single" w:sz="8" w:space="0" w:color="000000"/>
            </w:tcBorders>
            <w:tcMar>
              <w:top w:w="1" w:type="dxa"/>
              <w:left w:w="1" w:type="dxa"/>
              <w:bottom w:w="1" w:type="dxa"/>
              <w:right w:w="1" w:type="dxa"/>
            </w:tcMar>
          </w:tcPr>
          <w:p w14:paraId="12C84D62"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President L</w:t>
            </w:r>
            <w:r>
              <w:rPr>
                <w:rFonts w:ascii="Times New Roman" w:eastAsia="Times New Roman" w:hAnsi="Times New Roman" w:cs="Times New Roman"/>
                <w:sz w:val="24"/>
                <w:szCs w:val="24"/>
              </w:rPr>
              <w:t xml:space="preserve">yndon Baines Johnson gave a speech at the commencement ceremony of Howard University, arguing that </w:t>
            </w:r>
            <w:r>
              <w:rPr>
                <w:rFonts w:ascii="Times New Roman" w:eastAsia="Times New Roman" w:hAnsi="Times New Roman" w:cs="Times New Roman"/>
                <w:sz w:val="24"/>
                <w:szCs w:val="24"/>
              </w:rPr>
              <w:lastRenderedPageBreak/>
              <w:t>affirmative action in higher education was needed to right the wrongs of centuries of racial discrimination.</w:t>
            </w:r>
          </w:p>
        </w:tc>
        <w:tc>
          <w:tcPr>
            <w:tcW w:w="3015" w:type="dxa"/>
            <w:tcBorders>
              <w:bottom w:val="single" w:sz="8" w:space="0" w:color="000000"/>
              <w:right w:val="single" w:sz="8" w:space="0" w:color="000000"/>
            </w:tcBorders>
            <w:tcMar>
              <w:top w:w="1" w:type="dxa"/>
              <w:left w:w="1" w:type="dxa"/>
              <w:bottom w:w="1" w:type="dxa"/>
              <w:right w:w="1" w:type="dxa"/>
            </w:tcMar>
          </w:tcPr>
          <w:p w14:paraId="294D5C74" w14:textId="77777777" w:rsidR="00EB5891" w:rsidRDefault="00EB5891">
            <w:pPr>
              <w:pStyle w:val="normal0"/>
              <w:widowControl w:val="0"/>
              <w:rPr>
                <w:rFonts w:ascii="Times New Roman" w:eastAsia="Times New Roman" w:hAnsi="Times New Roman" w:cs="Times New Roman"/>
                <w:sz w:val="24"/>
                <w:szCs w:val="24"/>
              </w:rPr>
            </w:pPr>
          </w:p>
        </w:tc>
        <w:tc>
          <w:tcPr>
            <w:tcW w:w="2250" w:type="dxa"/>
            <w:tcBorders>
              <w:bottom w:val="single" w:sz="8" w:space="0" w:color="000000"/>
              <w:right w:val="single" w:sz="8" w:space="0" w:color="000000"/>
            </w:tcBorders>
            <w:tcMar>
              <w:top w:w="1" w:type="dxa"/>
              <w:left w:w="1" w:type="dxa"/>
              <w:bottom w:w="1" w:type="dxa"/>
              <w:right w:w="1" w:type="dxa"/>
            </w:tcMar>
          </w:tcPr>
          <w:p w14:paraId="17E09C4B"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Johnson, “To Fulfill These Rights”</w:t>
            </w:r>
          </w:p>
        </w:tc>
      </w:tr>
      <w:tr w:rsidR="00EB5891" w14:paraId="4F43FC99" w14:textId="77777777">
        <w:trPr>
          <w:trHeight w:val="540"/>
        </w:trPr>
        <w:tc>
          <w:tcPr>
            <w:tcW w:w="1980" w:type="dxa"/>
            <w:tcBorders>
              <w:left w:val="single" w:sz="8" w:space="0" w:color="000000"/>
              <w:bottom w:val="single" w:sz="8" w:space="0" w:color="000000"/>
              <w:right w:val="single" w:sz="8" w:space="0" w:color="000000"/>
            </w:tcBorders>
            <w:tcMar>
              <w:top w:w="1" w:type="dxa"/>
              <w:left w:w="1" w:type="dxa"/>
              <w:bottom w:w="1" w:type="dxa"/>
              <w:right w:w="1" w:type="dxa"/>
            </w:tcMar>
          </w:tcPr>
          <w:p w14:paraId="79993900"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1966</w:t>
            </w:r>
          </w:p>
          <w:p w14:paraId="062CBBE0"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Berkel</w:t>
            </w:r>
            <w:r>
              <w:rPr>
                <w:rFonts w:ascii="Times New Roman" w:eastAsia="Times New Roman" w:hAnsi="Times New Roman" w:cs="Times New Roman"/>
                <w:sz w:val="24"/>
                <w:szCs w:val="24"/>
              </w:rPr>
              <w:t>ey, California</w:t>
            </w:r>
          </w:p>
          <w:p w14:paraId="7D30320D"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(Univ. of California - Berkeley campus)</w:t>
            </w:r>
          </w:p>
        </w:tc>
        <w:tc>
          <w:tcPr>
            <w:tcW w:w="3195" w:type="dxa"/>
            <w:tcBorders>
              <w:bottom w:val="single" w:sz="8" w:space="0" w:color="000000"/>
              <w:right w:val="single" w:sz="8" w:space="0" w:color="000000"/>
            </w:tcBorders>
            <w:tcMar>
              <w:top w:w="1" w:type="dxa"/>
              <w:left w:w="1" w:type="dxa"/>
              <w:bottom w:w="1" w:type="dxa"/>
              <w:right w:w="1" w:type="dxa"/>
            </w:tcMar>
          </w:tcPr>
          <w:p w14:paraId="3CFD06F9"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Activist </w:t>
            </w:r>
            <w:proofErr w:type="spellStart"/>
            <w:r>
              <w:rPr>
                <w:rFonts w:ascii="Times New Roman" w:eastAsia="Times New Roman" w:hAnsi="Times New Roman" w:cs="Times New Roman"/>
                <w:color w:val="221111"/>
                <w:sz w:val="24"/>
                <w:szCs w:val="24"/>
              </w:rPr>
              <w:t>Stokely</w:t>
            </w:r>
            <w:proofErr w:type="spellEnd"/>
            <w:r>
              <w:rPr>
                <w:rFonts w:ascii="Times New Roman" w:eastAsia="Times New Roman" w:hAnsi="Times New Roman" w:cs="Times New Roman"/>
                <w:color w:val="221111"/>
                <w:sz w:val="24"/>
                <w:szCs w:val="24"/>
              </w:rPr>
              <w:t xml:space="preserve"> Carmichael, leader of the Student Non- violent Coordinating Committee (SNCC), gave a speech in which he called not for equality or freedom, but instead for “black power</w:t>
            </w:r>
            <w:r>
              <w:rPr>
                <w:rFonts w:ascii="Times New Roman" w:eastAsia="Times New Roman" w:hAnsi="Times New Roman" w:cs="Times New Roman"/>
                <w:sz w:val="24"/>
                <w:szCs w:val="24"/>
              </w:rPr>
              <w:t>.”  This suggest</w:t>
            </w:r>
            <w:r>
              <w:rPr>
                <w:rFonts w:ascii="Times New Roman" w:eastAsia="Times New Roman" w:hAnsi="Times New Roman" w:cs="Times New Roman"/>
                <w:sz w:val="24"/>
                <w:szCs w:val="24"/>
              </w:rPr>
              <w:t>ed a strategy of working within all-black organizations and making bold demands rather than being patient with the slow progress of change and relying on white allies to bring about racial integration.</w:t>
            </w:r>
          </w:p>
        </w:tc>
        <w:tc>
          <w:tcPr>
            <w:tcW w:w="3015" w:type="dxa"/>
            <w:tcBorders>
              <w:bottom w:val="single" w:sz="8" w:space="0" w:color="000000"/>
              <w:right w:val="single" w:sz="8" w:space="0" w:color="000000"/>
            </w:tcBorders>
            <w:tcMar>
              <w:top w:w="1" w:type="dxa"/>
              <w:left w:w="1" w:type="dxa"/>
              <w:bottom w:w="1" w:type="dxa"/>
              <w:right w:w="1" w:type="dxa"/>
            </w:tcMar>
          </w:tcPr>
          <w:p w14:paraId="520147D0"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2250" w:type="dxa"/>
            <w:tcBorders>
              <w:bottom w:val="single" w:sz="8" w:space="0" w:color="000000"/>
              <w:right w:val="single" w:sz="8" w:space="0" w:color="000000"/>
            </w:tcBorders>
            <w:tcMar>
              <w:top w:w="1" w:type="dxa"/>
              <w:left w:w="1" w:type="dxa"/>
              <w:bottom w:w="1" w:type="dxa"/>
              <w:right w:w="1" w:type="dxa"/>
            </w:tcMar>
          </w:tcPr>
          <w:p w14:paraId="162CC9BC"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UIUC Archives “Project 500” online exhibit, “Black P</w:t>
            </w:r>
            <w:r>
              <w:rPr>
                <w:rFonts w:ascii="Times New Roman" w:eastAsia="Times New Roman" w:hAnsi="Times New Roman" w:cs="Times New Roman"/>
                <w:sz w:val="24"/>
                <w:szCs w:val="24"/>
              </w:rPr>
              <w:t>ower”</w:t>
            </w:r>
          </w:p>
        </w:tc>
      </w:tr>
      <w:tr w:rsidR="00EB5891" w14:paraId="1D4640FB" w14:textId="77777777">
        <w:trPr>
          <w:trHeight w:val="540"/>
        </w:trPr>
        <w:tc>
          <w:tcPr>
            <w:tcW w:w="1980" w:type="dxa"/>
            <w:tcBorders>
              <w:left w:val="single" w:sz="8" w:space="0" w:color="000000"/>
              <w:bottom w:val="single" w:sz="8" w:space="0" w:color="000000"/>
              <w:right w:val="single" w:sz="8" w:space="0" w:color="000000"/>
            </w:tcBorders>
            <w:tcMar>
              <w:top w:w="1" w:type="dxa"/>
              <w:left w:w="1" w:type="dxa"/>
              <w:bottom w:w="1" w:type="dxa"/>
              <w:right w:w="1" w:type="dxa"/>
            </w:tcMar>
          </w:tcPr>
          <w:p w14:paraId="7E3E6879"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1966</w:t>
            </w:r>
          </w:p>
          <w:p w14:paraId="3B3AE391"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Urbana, Illinois</w:t>
            </w:r>
          </w:p>
        </w:tc>
        <w:tc>
          <w:tcPr>
            <w:tcW w:w="3195" w:type="dxa"/>
            <w:tcBorders>
              <w:bottom w:val="single" w:sz="8" w:space="0" w:color="000000"/>
              <w:right w:val="single" w:sz="8" w:space="0" w:color="000000"/>
            </w:tcBorders>
            <w:tcMar>
              <w:top w:w="1" w:type="dxa"/>
              <w:left w:w="1" w:type="dxa"/>
              <w:bottom w:w="1" w:type="dxa"/>
              <w:right w:w="1" w:type="dxa"/>
            </w:tcMar>
          </w:tcPr>
          <w:p w14:paraId="5D390405"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The Black Students Association (BSA) at UIUC was formed. Inspired by the principle of “black power,” their motto was “we hope for nothing, we demand everything.”</w:t>
            </w:r>
          </w:p>
        </w:tc>
        <w:tc>
          <w:tcPr>
            <w:tcW w:w="3015" w:type="dxa"/>
            <w:tcBorders>
              <w:bottom w:val="single" w:sz="8" w:space="0" w:color="000000"/>
              <w:right w:val="single" w:sz="8" w:space="0" w:color="000000"/>
            </w:tcBorders>
            <w:tcMar>
              <w:top w:w="1" w:type="dxa"/>
              <w:left w:w="1" w:type="dxa"/>
              <w:bottom w:w="1" w:type="dxa"/>
              <w:right w:w="1" w:type="dxa"/>
            </w:tcMar>
          </w:tcPr>
          <w:p w14:paraId="6F5C258E" w14:textId="77777777" w:rsidR="00EB5891" w:rsidRDefault="00EB5891">
            <w:pPr>
              <w:pStyle w:val="normal0"/>
              <w:widowControl w:val="0"/>
              <w:rPr>
                <w:rFonts w:ascii="Times New Roman" w:eastAsia="Times New Roman" w:hAnsi="Times New Roman" w:cs="Times New Roman"/>
                <w:sz w:val="24"/>
                <w:szCs w:val="24"/>
              </w:rPr>
            </w:pPr>
          </w:p>
        </w:tc>
        <w:tc>
          <w:tcPr>
            <w:tcW w:w="2250" w:type="dxa"/>
            <w:tcBorders>
              <w:bottom w:val="single" w:sz="8" w:space="0" w:color="000000"/>
              <w:right w:val="single" w:sz="8" w:space="0" w:color="000000"/>
            </w:tcBorders>
            <w:tcMar>
              <w:top w:w="1" w:type="dxa"/>
              <w:left w:w="1" w:type="dxa"/>
              <w:bottom w:w="1" w:type="dxa"/>
              <w:right w:w="1" w:type="dxa"/>
            </w:tcMar>
          </w:tcPr>
          <w:p w14:paraId="3D19AE73"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UIUC Archives, “Project 500” online exhibit, “</w:t>
            </w:r>
            <w:r>
              <w:rPr>
                <w:rFonts w:ascii="Times New Roman" w:eastAsia="Times New Roman" w:hAnsi="Times New Roman" w:cs="Times New Roman"/>
                <w:color w:val="332211"/>
                <w:sz w:val="24"/>
                <w:szCs w:val="24"/>
              </w:rPr>
              <w:t>What is a B.S.A?”</w:t>
            </w:r>
          </w:p>
        </w:tc>
      </w:tr>
      <w:tr w:rsidR="00EB5891" w14:paraId="10B434BF" w14:textId="77777777">
        <w:trPr>
          <w:trHeight w:val="540"/>
        </w:trPr>
        <w:tc>
          <w:tcPr>
            <w:tcW w:w="1980" w:type="dxa"/>
            <w:tcBorders>
              <w:left w:val="single" w:sz="8" w:space="0" w:color="000000"/>
              <w:bottom w:val="single" w:sz="8" w:space="0" w:color="000000"/>
              <w:right w:val="single" w:sz="8" w:space="0" w:color="000000"/>
            </w:tcBorders>
            <w:tcMar>
              <w:top w:w="1" w:type="dxa"/>
              <w:left w:w="1" w:type="dxa"/>
              <w:bottom w:w="1" w:type="dxa"/>
              <w:right w:w="1" w:type="dxa"/>
            </w:tcMar>
          </w:tcPr>
          <w:p w14:paraId="2B379070"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1966-1972</w:t>
            </w:r>
          </w:p>
          <w:p w14:paraId="0DACD575"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UIUC</w:t>
            </w:r>
          </w:p>
        </w:tc>
        <w:tc>
          <w:tcPr>
            <w:tcW w:w="3195" w:type="dxa"/>
            <w:tcBorders>
              <w:bottom w:val="single" w:sz="8" w:space="0" w:color="000000"/>
              <w:right w:val="single" w:sz="8" w:space="0" w:color="000000"/>
            </w:tcBorders>
            <w:tcMar>
              <w:top w:w="1" w:type="dxa"/>
              <w:left w:w="1" w:type="dxa"/>
              <w:bottom w:w="1" w:type="dxa"/>
              <w:right w:w="1" w:type="dxa"/>
            </w:tcMar>
          </w:tcPr>
          <w:p w14:paraId="3A85A8E5"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While many protests were held at the U of I during this period, white and black students tended to be concerned about different things.  Many white students protested the escalation of the Vietnam War and military recruiting on campus, whil</w:t>
            </w:r>
            <w:r>
              <w:rPr>
                <w:rFonts w:ascii="Times New Roman" w:eastAsia="Times New Roman" w:hAnsi="Times New Roman" w:cs="Times New Roman"/>
                <w:sz w:val="24"/>
                <w:szCs w:val="24"/>
              </w:rPr>
              <w:t xml:space="preserve">e black students often focused on having full access to housing options on and off campus, getting the university to respond to discriminatory practices, to expand financial aid and to offer classes in black studies. </w:t>
            </w:r>
          </w:p>
        </w:tc>
        <w:tc>
          <w:tcPr>
            <w:tcW w:w="3015" w:type="dxa"/>
            <w:tcBorders>
              <w:bottom w:val="single" w:sz="8" w:space="0" w:color="000000"/>
              <w:right w:val="single" w:sz="8" w:space="0" w:color="000000"/>
            </w:tcBorders>
            <w:tcMar>
              <w:top w:w="1" w:type="dxa"/>
              <w:left w:w="1" w:type="dxa"/>
              <w:bottom w:w="1" w:type="dxa"/>
              <w:right w:w="1" w:type="dxa"/>
            </w:tcMar>
          </w:tcPr>
          <w:p w14:paraId="34AD264B" w14:textId="77777777" w:rsidR="00EB5891" w:rsidRDefault="00EB5891">
            <w:pPr>
              <w:pStyle w:val="normal0"/>
              <w:widowControl w:val="0"/>
              <w:rPr>
                <w:rFonts w:ascii="Times New Roman" w:eastAsia="Times New Roman" w:hAnsi="Times New Roman" w:cs="Times New Roman"/>
                <w:sz w:val="24"/>
                <w:szCs w:val="24"/>
              </w:rPr>
            </w:pPr>
          </w:p>
        </w:tc>
        <w:tc>
          <w:tcPr>
            <w:tcW w:w="2250" w:type="dxa"/>
            <w:tcBorders>
              <w:bottom w:val="single" w:sz="8" w:space="0" w:color="000000"/>
              <w:right w:val="single" w:sz="8" w:space="0" w:color="000000"/>
            </w:tcBorders>
            <w:tcMar>
              <w:top w:w="1" w:type="dxa"/>
              <w:left w:w="1" w:type="dxa"/>
              <w:bottom w:w="1" w:type="dxa"/>
              <w:right w:w="1" w:type="dxa"/>
            </w:tcMar>
          </w:tcPr>
          <w:p w14:paraId="71A2E190"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UIUC Archives, “Project 500” online e</w:t>
            </w:r>
            <w:r>
              <w:rPr>
                <w:rFonts w:ascii="Times New Roman" w:eastAsia="Times New Roman" w:hAnsi="Times New Roman" w:cs="Times New Roman"/>
                <w:sz w:val="24"/>
                <w:szCs w:val="24"/>
              </w:rPr>
              <w:t>xhibit, “</w:t>
            </w:r>
            <w:proofErr w:type="spellStart"/>
            <w:r>
              <w:rPr>
                <w:rFonts w:ascii="Times New Roman" w:eastAsia="Times New Roman" w:hAnsi="Times New Roman" w:cs="Times New Roman"/>
                <w:color w:val="332211"/>
                <w:sz w:val="24"/>
                <w:szCs w:val="24"/>
              </w:rPr>
              <w:t>Stickin</w:t>
            </w:r>
            <w:proofErr w:type="spellEnd"/>
            <w:r>
              <w:rPr>
                <w:rFonts w:ascii="Times New Roman" w:eastAsia="Times New Roman" w:hAnsi="Times New Roman" w:cs="Times New Roman"/>
                <w:color w:val="332211"/>
                <w:sz w:val="24"/>
                <w:szCs w:val="24"/>
              </w:rPr>
              <w:t>' it to the ‘Man’</w:t>
            </w:r>
            <w:r>
              <w:rPr>
                <w:rFonts w:ascii="Times New Roman" w:eastAsia="Times New Roman" w:hAnsi="Times New Roman" w:cs="Times New Roman"/>
                <w:sz w:val="24"/>
                <w:szCs w:val="24"/>
              </w:rPr>
              <w:t>”</w:t>
            </w:r>
          </w:p>
        </w:tc>
      </w:tr>
      <w:tr w:rsidR="00EB5891" w14:paraId="75A9AB48" w14:textId="77777777">
        <w:trPr>
          <w:trHeight w:val="540"/>
        </w:trPr>
        <w:tc>
          <w:tcPr>
            <w:tcW w:w="1980" w:type="dxa"/>
            <w:tcBorders>
              <w:left w:val="single" w:sz="8" w:space="0" w:color="000000"/>
              <w:bottom w:val="single" w:sz="8" w:space="0" w:color="000000"/>
              <w:right w:val="single" w:sz="8" w:space="0" w:color="000000"/>
            </w:tcBorders>
            <w:tcMar>
              <w:top w:w="1" w:type="dxa"/>
              <w:left w:w="1" w:type="dxa"/>
              <w:bottom w:w="1" w:type="dxa"/>
              <w:right w:w="1" w:type="dxa"/>
            </w:tcMar>
          </w:tcPr>
          <w:p w14:paraId="6C58385C"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1964-1968</w:t>
            </w:r>
          </w:p>
        </w:tc>
        <w:tc>
          <w:tcPr>
            <w:tcW w:w="3195" w:type="dxa"/>
            <w:tcBorders>
              <w:bottom w:val="single" w:sz="8" w:space="0" w:color="000000"/>
              <w:right w:val="single" w:sz="8" w:space="0" w:color="000000"/>
            </w:tcBorders>
            <w:tcMar>
              <w:top w:w="1" w:type="dxa"/>
              <w:left w:w="1" w:type="dxa"/>
              <w:bottom w:w="1" w:type="dxa"/>
              <w:right w:w="1" w:type="dxa"/>
            </w:tcMar>
          </w:tcPr>
          <w:p w14:paraId="0F770B60"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In response to the civil rights movement, greater awareness of racial disparities in higher education and the call for equal opportunity in education, various uncoordinated efforts to increase the number and su</w:t>
            </w:r>
            <w:r>
              <w:rPr>
                <w:rFonts w:ascii="Times New Roman" w:eastAsia="Times New Roman" w:hAnsi="Times New Roman" w:cs="Times New Roman"/>
                <w:sz w:val="24"/>
                <w:szCs w:val="24"/>
              </w:rPr>
              <w:t>ccess of African American students at UIUC occurred.  By the spring of 1968, the university was proposing a plan to recruit 200 African American students, to be phased in slowly, starting with the 1969-70 year.</w:t>
            </w:r>
          </w:p>
        </w:tc>
        <w:tc>
          <w:tcPr>
            <w:tcW w:w="3015" w:type="dxa"/>
            <w:tcBorders>
              <w:bottom w:val="single" w:sz="8" w:space="0" w:color="000000"/>
              <w:right w:val="single" w:sz="8" w:space="0" w:color="000000"/>
            </w:tcBorders>
            <w:tcMar>
              <w:top w:w="1" w:type="dxa"/>
              <w:left w:w="1" w:type="dxa"/>
              <w:bottom w:w="1" w:type="dxa"/>
              <w:right w:w="1" w:type="dxa"/>
            </w:tcMar>
          </w:tcPr>
          <w:p w14:paraId="64FC0F5B" w14:textId="77777777" w:rsidR="00EB5891" w:rsidRDefault="00EB5891">
            <w:pPr>
              <w:pStyle w:val="normal0"/>
              <w:widowControl w:val="0"/>
              <w:rPr>
                <w:rFonts w:ascii="Times New Roman" w:eastAsia="Times New Roman" w:hAnsi="Times New Roman" w:cs="Times New Roman"/>
                <w:sz w:val="24"/>
                <w:szCs w:val="24"/>
              </w:rPr>
            </w:pPr>
          </w:p>
        </w:tc>
        <w:tc>
          <w:tcPr>
            <w:tcW w:w="2250" w:type="dxa"/>
            <w:tcBorders>
              <w:bottom w:val="single" w:sz="8" w:space="0" w:color="000000"/>
              <w:right w:val="single" w:sz="8" w:space="0" w:color="000000"/>
            </w:tcBorders>
            <w:tcMar>
              <w:top w:w="1" w:type="dxa"/>
              <w:left w:w="1" w:type="dxa"/>
              <w:bottom w:w="1" w:type="dxa"/>
              <w:right w:w="1" w:type="dxa"/>
            </w:tcMar>
          </w:tcPr>
          <w:p w14:paraId="34E5F9B7"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Williamson 60-65</w:t>
            </w:r>
          </w:p>
        </w:tc>
      </w:tr>
      <w:tr w:rsidR="00EB5891" w14:paraId="57DA5233" w14:textId="77777777">
        <w:trPr>
          <w:trHeight w:val="300"/>
        </w:trPr>
        <w:tc>
          <w:tcPr>
            <w:tcW w:w="1980" w:type="dxa"/>
            <w:tcBorders>
              <w:left w:val="single" w:sz="8" w:space="0" w:color="000000"/>
              <w:bottom w:val="single" w:sz="8" w:space="0" w:color="000000"/>
              <w:right w:val="single" w:sz="8" w:space="0" w:color="000000"/>
            </w:tcBorders>
            <w:tcMar>
              <w:top w:w="1" w:type="dxa"/>
              <w:left w:w="1" w:type="dxa"/>
              <w:bottom w:w="1" w:type="dxa"/>
              <w:right w:w="1" w:type="dxa"/>
            </w:tcMar>
          </w:tcPr>
          <w:p w14:paraId="091CE624"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April 4, 1968</w:t>
            </w:r>
          </w:p>
          <w:p w14:paraId="34B5A5A8"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Memphis, </w:t>
            </w:r>
            <w:proofErr w:type="gramStart"/>
            <w:r>
              <w:rPr>
                <w:rFonts w:ascii="Times New Roman" w:eastAsia="Times New Roman" w:hAnsi="Times New Roman" w:cs="Times New Roman"/>
                <w:sz w:val="24"/>
                <w:szCs w:val="24"/>
              </w:rPr>
              <w:t xml:space="preserve">Tennessee    </w:t>
            </w:r>
            <w:proofErr w:type="gramEnd"/>
          </w:p>
        </w:tc>
        <w:tc>
          <w:tcPr>
            <w:tcW w:w="3195" w:type="dxa"/>
            <w:tcBorders>
              <w:bottom w:val="single" w:sz="8" w:space="0" w:color="000000"/>
              <w:right w:val="single" w:sz="8" w:space="0" w:color="000000"/>
            </w:tcBorders>
            <w:tcMar>
              <w:top w:w="1" w:type="dxa"/>
              <w:left w:w="1" w:type="dxa"/>
              <w:bottom w:w="1" w:type="dxa"/>
              <w:right w:w="1" w:type="dxa"/>
            </w:tcMar>
          </w:tcPr>
          <w:p w14:paraId="37A0E8CF"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The Rev. Martin Luther King, Jr. was assassinated while he was in Memphis to support a strike of underpaid garbage collectors.  His assassination left many people feeling sad, angry and despairing of the possibility for non-violent c</w:t>
            </w:r>
            <w:r>
              <w:rPr>
                <w:rFonts w:ascii="Times New Roman" w:eastAsia="Times New Roman" w:hAnsi="Times New Roman" w:cs="Times New Roman"/>
                <w:sz w:val="24"/>
                <w:szCs w:val="24"/>
              </w:rPr>
              <w:t>hange.</w:t>
            </w:r>
          </w:p>
        </w:tc>
        <w:tc>
          <w:tcPr>
            <w:tcW w:w="3015" w:type="dxa"/>
            <w:tcBorders>
              <w:bottom w:val="single" w:sz="8" w:space="0" w:color="000000"/>
              <w:right w:val="single" w:sz="8" w:space="0" w:color="000000"/>
            </w:tcBorders>
            <w:tcMar>
              <w:top w:w="1" w:type="dxa"/>
              <w:left w:w="1" w:type="dxa"/>
              <w:bottom w:w="1" w:type="dxa"/>
              <w:right w:w="1" w:type="dxa"/>
            </w:tcMar>
          </w:tcPr>
          <w:p w14:paraId="331031AE" w14:textId="77777777" w:rsidR="00EB5891" w:rsidRDefault="00EB5891">
            <w:pPr>
              <w:pStyle w:val="normal0"/>
              <w:widowControl w:val="0"/>
              <w:rPr>
                <w:rFonts w:ascii="Times New Roman" w:eastAsia="Times New Roman" w:hAnsi="Times New Roman" w:cs="Times New Roman"/>
                <w:sz w:val="24"/>
                <w:szCs w:val="24"/>
              </w:rPr>
            </w:pPr>
          </w:p>
        </w:tc>
        <w:tc>
          <w:tcPr>
            <w:tcW w:w="2250" w:type="dxa"/>
            <w:tcBorders>
              <w:bottom w:val="single" w:sz="8" w:space="0" w:color="000000"/>
              <w:right w:val="single" w:sz="8" w:space="0" w:color="000000"/>
            </w:tcBorders>
            <w:tcMar>
              <w:top w:w="1" w:type="dxa"/>
              <w:left w:w="1" w:type="dxa"/>
              <w:bottom w:w="1" w:type="dxa"/>
              <w:right w:w="1" w:type="dxa"/>
            </w:tcMar>
          </w:tcPr>
          <w:p w14:paraId="0F4EA9F2"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UIUC Archives, “Project 500” online exhibit, “</w:t>
            </w:r>
            <w:r>
              <w:rPr>
                <w:rFonts w:ascii="Times New Roman" w:eastAsia="Times New Roman" w:hAnsi="Times New Roman" w:cs="Times New Roman"/>
                <w:color w:val="332211"/>
                <w:sz w:val="24"/>
                <w:szCs w:val="24"/>
              </w:rPr>
              <w:t>Assassination of Martin Luther King Jr.</w:t>
            </w:r>
            <w:r>
              <w:rPr>
                <w:rFonts w:ascii="Times New Roman" w:eastAsia="Times New Roman" w:hAnsi="Times New Roman" w:cs="Times New Roman"/>
                <w:sz w:val="24"/>
                <w:szCs w:val="24"/>
              </w:rPr>
              <w:t>”</w:t>
            </w:r>
          </w:p>
        </w:tc>
      </w:tr>
      <w:tr w:rsidR="00EB5891" w14:paraId="3647CC33" w14:textId="77777777">
        <w:trPr>
          <w:trHeight w:val="300"/>
        </w:trPr>
        <w:tc>
          <w:tcPr>
            <w:tcW w:w="1980" w:type="dxa"/>
            <w:tcBorders>
              <w:left w:val="single" w:sz="8" w:space="0" w:color="000000"/>
              <w:bottom w:val="single" w:sz="8" w:space="0" w:color="000000"/>
              <w:right w:val="single" w:sz="8" w:space="0" w:color="000000"/>
            </w:tcBorders>
            <w:tcMar>
              <w:top w:w="1" w:type="dxa"/>
              <w:left w:w="1" w:type="dxa"/>
              <w:bottom w:w="1" w:type="dxa"/>
              <w:right w:w="1" w:type="dxa"/>
            </w:tcMar>
          </w:tcPr>
          <w:p w14:paraId="6D904B96"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April - May 1968</w:t>
            </w:r>
          </w:p>
        </w:tc>
        <w:tc>
          <w:tcPr>
            <w:tcW w:w="3195" w:type="dxa"/>
            <w:tcBorders>
              <w:bottom w:val="single" w:sz="8" w:space="0" w:color="000000"/>
              <w:right w:val="single" w:sz="8" w:space="0" w:color="000000"/>
            </w:tcBorders>
            <w:tcMar>
              <w:top w:w="1" w:type="dxa"/>
              <w:left w:w="1" w:type="dxa"/>
              <w:bottom w:w="1" w:type="dxa"/>
              <w:right w:w="1" w:type="dxa"/>
            </w:tcMar>
          </w:tcPr>
          <w:p w14:paraId="53B0AA42"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In response to the despair created by the assassination of MLK, BSA members pushed the UIUC administration to take action and to bring more Af</w:t>
            </w:r>
            <w:r>
              <w:rPr>
                <w:rFonts w:ascii="Times New Roman" w:eastAsia="Times New Roman" w:hAnsi="Times New Roman" w:cs="Times New Roman"/>
                <w:sz w:val="24"/>
                <w:szCs w:val="24"/>
              </w:rPr>
              <w:t>rican American students to campus on a much shorter timeframe. On May 2, 1968, the administration announced a plan to recruit 500 qualified students of color for the following academic year -- in addition to the students already offered admission through t</w:t>
            </w:r>
            <w:r>
              <w:rPr>
                <w:rFonts w:ascii="Times New Roman" w:eastAsia="Times New Roman" w:hAnsi="Times New Roman" w:cs="Times New Roman"/>
                <w:sz w:val="24"/>
                <w:szCs w:val="24"/>
              </w:rPr>
              <w:t>he regular cycle.</w:t>
            </w:r>
          </w:p>
        </w:tc>
        <w:tc>
          <w:tcPr>
            <w:tcW w:w="3015" w:type="dxa"/>
            <w:tcBorders>
              <w:bottom w:val="single" w:sz="8" w:space="0" w:color="000000"/>
              <w:right w:val="single" w:sz="8" w:space="0" w:color="000000"/>
            </w:tcBorders>
            <w:tcMar>
              <w:top w:w="1" w:type="dxa"/>
              <w:left w:w="1" w:type="dxa"/>
              <w:bottom w:w="1" w:type="dxa"/>
              <w:right w:w="1" w:type="dxa"/>
            </w:tcMar>
          </w:tcPr>
          <w:p w14:paraId="3B808E0D" w14:textId="77777777" w:rsidR="00EB5891" w:rsidRDefault="00EB5891">
            <w:pPr>
              <w:pStyle w:val="normal0"/>
              <w:widowControl w:val="0"/>
              <w:rPr>
                <w:rFonts w:ascii="Times New Roman" w:eastAsia="Times New Roman" w:hAnsi="Times New Roman" w:cs="Times New Roman"/>
                <w:sz w:val="24"/>
                <w:szCs w:val="24"/>
              </w:rPr>
            </w:pPr>
          </w:p>
        </w:tc>
        <w:tc>
          <w:tcPr>
            <w:tcW w:w="2250" w:type="dxa"/>
            <w:tcBorders>
              <w:bottom w:val="single" w:sz="8" w:space="0" w:color="000000"/>
              <w:right w:val="single" w:sz="8" w:space="0" w:color="000000"/>
            </w:tcBorders>
            <w:tcMar>
              <w:top w:w="1" w:type="dxa"/>
              <w:left w:w="1" w:type="dxa"/>
              <w:bottom w:w="1" w:type="dxa"/>
              <w:right w:w="1" w:type="dxa"/>
            </w:tcMar>
          </w:tcPr>
          <w:p w14:paraId="4DD66E06" w14:textId="77777777" w:rsidR="00EB5891" w:rsidRDefault="0083491C">
            <w:pPr>
              <w:pStyle w:val="normal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Williamson 65-66</w:t>
            </w:r>
          </w:p>
        </w:tc>
      </w:tr>
    </w:tbl>
    <w:p w14:paraId="562ECCE5" w14:textId="77777777" w:rsidR="00EB5891" w:rsidRDefault="00EB5891">
      <w:pPr>
        <w:pStyle w:val="normal0"/>
        <w:rPr>
          <w:rFonts w:ascii="Times New Roman" w:eastAsia="Times New Roman" w:hAnsi="Times New Roman" w:cs="Times New Roman"/>
          <w:sz w:val="24"/>
          <w:szCs w:val="24"/>
        </w:rPr>
      </w:pPr>
    </w:p>
    <w:sectPr w:rsidR="00EB5891">
      <w:headerReference w:type="default" r:id="rId8"/>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B10697" w14:textId="77777777" w:rsidR="00000000" w:rsidRDefault="0083491C">
      <w:pPr>
        <w:spacing w:line="240" w:lineRule="auto"/>
      </w:pPr>
      <w:r>
        <w:separator/>
      </w:r>
    </w:p>
  </w:endnote>
  <w:endnote w:type="continuationSeparator" w:id="0">
    <w:p w14:paraId="423B453B" w14:textId="77777777" w:rsidR="00000000" w:rsidRDefault="008349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774D66" w14:textId="77777777" w:rsidR="00000000" w:rsidRDefault="0083491C">
      <w:pPr>
        <w:spacing w:line="240" w:lineRule="auto"/>
      </w:pPr>
      <w:r>
        <w:separator/>
      </w:r>
    </w:p>
  </w:footnote>
  <w:footnote w:type="continuationSeparator" w:id="0">
    <w:p w14:paraId="434562DD" w14:textId="77777777" w:rsidR="00000000" w:rsidRDefault="0083491C">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E3E729" w14:textId="77777777" w:rsidR="00EB5891" w:rsidRDefault="0083491C">
    <w:pPr>
      <w:pStyle w:val="normal0"/>
      <w:jc w:val="right"/>
    </w:pP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C462C3"/>
    <w:multiLevelType w:val="hybridMultilevel"/>
    <w:tmpl w:val="712AD18E"/>
    <w:lvl w:ilvl="0" w:tplc="7138CE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EB5891"/>
    <w:rsid w:val="00176BBA"/>
    <w:rsid w:val="005341D8"/>
    <w:rsid w:val="0083491C"/>
    <w:rsid w:val="00C26086"/>
    <w:rsid w:val="00EB58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C587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1325</Words>
  <Characters>7559</Characters>
  <Application>Microsoft Macintosh Word</Application>
  <DocSecurity>0</DocSecurity>
  <Lines>62</Lines>
  <Paragraphs>17</Paragraphs>
  <ScaleCrop>false</ScaleCrop>
  <Company>University Laboratory High School</Company>
  <LinksUpToDate>false</LinksUpToDate>
  <CharactersWithSpaces>8867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Janet Morford</cp:lastModifiedBy>
  <cp:revision>5</cp:revision>
  <dcterms:created xsi:type="dcterms:W3CDTF">2017-02-27T16:21:00Z</dcterms:created>
  <dcterms:modified xsi:type="dcterms:W3CDTF">2017-02-27T16:35:00Z</dcterms:modified>
</cp:coreProperties>
</file>